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19E481" w14:textId="27ACFF00" w:rsidR="00592CF4" w:rsidRPr="00F023D2" w:rsidRDefault="00F023D2" w:rsidP="00592CF4">
      <w:pPr>
        <w:pStyle w:val="IEEEAuthorName"/>
        <w:rPr>
          <w:lang w:val="el-GR"/>
        </w:rPr>
      </w:pPr>
      <w:r w:rsidRPr="00F023D2">
        <w:rPr>
          <w:sz w:val="48"/>
          <w:lang w:val="el-GR" w:eastAsia="zh-CN"/>
        </w:rPr>
        <w:t>«</w:t>
      </w:r>
      <w:r w:rsidRPr="00F023D2">
        <w:rPr>
          <w:sz w:val="48"/>
          <w:lang w:val="el-GR" w:eastAsia="zh-CN"/>
        </w:rPr>
        <w:t>Η ΤΕΧΝΟΛΟΓΙΑ ΣΥΓΚΟΛΛΗΣΕΩΝ ΣΕ ΕΝΑ ΤΕΧΝΙΚΟ ΕΡΓΟ»</w:t>
      </w:r>
    </w:p>
    <w:tbl>
      <w:tblPr>
        <w:tblpPr w:leftFromText="180" w:rightFromText="180" w:vertAnchor="page" w:horzAnchor="margin" w:tblpY="3016"/>
        <w:tblW w:w="8348" w:type="dxa"/>
        <w:tblLook w:val="04A0" w:firstRow="1" w:lastRow="0" w:firstColumn="1" w:lastColumn="0" w:noHBand="0" w:noVBand="1"/>
      </w:tblPr>
      <w:tblGrid>
        <w:gridCol w:w="3936"/>
        <w:gridCol w:w="4412"/>
      </w:tblGrid>
      <w:tr w:rsidR="00F023D2" w:rsidRPr="00452174" w14:paraId="3EE392D3" w14:textId="77777777" w:rsidTr="00F023D2">
        <w:trPr>
          <w:trHeight w:val="1438"/>
        </w:trPr>
        <w:tc>
          <w:tcPr>
            <w:tcW w:w="3936" w:type="dxa"/>
          </w:tcPr>
          <w:p w14:paraId="10DBBFFC" w14:textId="77777777" w:rsidR="00F023D2" w:rsidRPr="00452174" w:rsidRDefault="00F023D2" w:rsidP="00F023D2">
            <w:pPr>
              <w:pStyle w:val="IEEEAuthorName"/>
              <w:rPr>
                <w:szCs w:val="22"/>
                <w:lang w:val="el-GR"/>
              </w:rPr>
            </w:pPr>
            <w:r w:rsidRPr="00452174">
              <w:rPr>
                <w:szCs w:val="22"/>
                <w:lang w:val="el-GR"/>
              </w:rPr>
              <w:t>ΑΣΠΑΣΙΑ ΤΣΙΠΟΛΙΤΗ</w:t>
            </w:r>
          </w:p>
          <w:p w14:paraId="5960D9B9" w14:textId="77777777" w:rsidR="00F023D2" w:rsidRPr="00452174" w:rsidRDefault="00F023D2" w:rsidP="00F023D2">
            <w:pPr>
              <w:pStyle w:val="IEEEAuthorName"/>
              <w:rPr>
                <w:szCs w:val="22"/>
                <w:lang w:val="el-GR"/>
              </w:rPr>
            </w:pPr>
            <w:r w:rsidRPr="00452174">
              <w:rPr>
                <w:szCs w:val="22"/>
                <w:lang w:val="el-GR"/>
              </w:rPr>
              <w:t>Μηχανολόγος μηχανικός Τ.Ε &amp; απόφοιτη τμήματος ΔΤΧ</w:t>
            </w:r>
            <w:r w:rsidRPr="00814DDF">
              <w:rPr>
                <w:szCs w:val="22"/>
                <w:lang w:val="el-GR"/>
              </w:rPr>
              <w:t>/</w:t>
            </w:r>
            <w:r>
              <w:rPr>
                <w:szCs w:val="22"/>
                <w:lang w:val="el-GR"/>
              </w:rPr>
              <w:t>ΣΘΕΤ</w:t>
            </w:r>
            <w:r w:rsidRPr="00452174">
              <w:rPr>
                <w:szCs w:val="22"/>
                <w:lang w:val="el-GR"/>
              </w:rPr>
              <w:t xml:space="preserve">  ΕΑΠ</w:t>
            </w:r>
          </w:p>
          <w:p w14:paraId="738D6A5E" w14:textId="77777777" w:rsidR="00F023D2" w:rsidRPr="00814DDF" w:rsidRDefault="00F023D2" w:rsidP="00F023D2">
            <w:pPr>
              <w:pStyle w:val="IEEEAuthorName"/>
              <w:rPr>
                <w:sz w:val="20"/>
                <w:szCs w:val="20"/>
                <w:lang w:val="en-US"/>
              </w:rPr>
            </w:pPr>
            <w:r>
              <w:rPr>
                <w:sz w:val="20"/>
                <w:szCs w:val="20"/>
                <w:lang w:val="en-US"/>
              </w:rPr>
              <w:t>std153283@ac.eap.gr</w:t>
            </w:r>
          </w:p>
        </w:tc>
        <w:tc>
          <w:tcPr>
            <w:tcW w:w="4412" w:type="dxa"/>
          </w:tcPr>
          <w:p w14:paraId="13368206" w14:textId="77777777" w:rsidR="00F023D2" w:rsidRPr="00452174" w:rsidRDefault="00F023D2" w:rsidP="00F023D2">
            <w:pPr>
              <w:pStyle w:val="IEEEAuthorName"/>
              <w:rPr>
                <w:szCs w:val="22"/>
                <w:lang w:val="el-GR"/>
              </w:rPr>
            </w:pPr>
            <w:r>
              <w:rPr>
                <w:szCs w:val="22"/>
                <w:lang w:val="el-GR"/>
              </w:rPr>
              <w:t xml:space="preserve">ΚΩΝΣΤΑΝΤΙΝΟΣ ΣΚΑΛΩΜΕΝΟΣ </w:t>
            </w:r>
            <w:r w:rsidRPr="00452174">
              <w:rPr>
                <w:szCs w:val="22"/>
                <w:lang w:val="el-GR"/>
              </w:rPr>
              <w:t>Μέλους_ΣΕΠ</w:t>
            </w:r>
          </w:p>
          <w:p w14:paraId="2D26ECFC" w14:textId="77777777" w:rsidR="00F023D2" w:rsidRPr="00452174" w:rsidRDefault="00F023D2" w:rsidP="00F023D2">
            <w:pPr>
              <w:pStyle w:val="IEEEAuthorName"/>
              <w:rPr>
                <w:szCs w:val="22"/>
                <w:lang w:val="el-GR"/>
              </w:rPr>
            </w:pPr>
            <w:r w:rsidRPr="00452174">
              <w:rPr>
                <w:szCs w:val="22"/>
                <w:lang w:val="el-GR"/>
              </w:rPr>
              <w:t xml:space="preserve"> Μέλος ΣΕΠ ΔΧΤ/ΣΘΕΤ ΕΑΠ</w:t>
            </w:r>
          </w:p>
          <w:p w14:paraId="495E39FE" w14:textId="77777777" w:rsidR="00F023D2" w:rsidRPr="00452174" w:rsidRDefault="00F023D2" w:rsidP="00F023D2">
            <w:pPr>
              <w:pStyle w:val="IEEEAuthorName"/>
              <w:rPr>
                <w:sz w:val="20"/>
                <w:szCs w:val="20"/>
                <w:lang w:val="el-GR"/>
              </w:rPr>
            </w:pPr>
            <w:r>
              <w:rPr>
                <w:sz w:val="20"/>
                <w:szCs w:val="20"/>
                <w:lang w:val="en-US"/>
              </w:rPr>
              <w:t>skalomenos</w:t>
            </w:r>
            <w:r w:rsidRPr="00B74007">
              <w:rPr>
                <w:sz w:val="20"/>
                <w:szCs w:val="20"/>
                <w:lang w:val="el-GR"/>
              </w:rPr>
              <w:t>.</w:t>
            </w:r>
            <w:r>
              <w:rPr>
                <w:sz w:val="20"/>
                <w:szCs w:val="20"/>
                <w:lang w:val="en-US"/>
              </w:rPr>
              <w:t>konstantinos</w:t>
            </w:r>
            <w:r w:rsidRPr="00B74007">
              <w:rPr>
                <w:sz w:val="20"/>
                <w:szCs w:val="20"/>
                <w:lang w:val="el-GR"/>
              </w:rPr>
              <w:t>@</w:t>
            </w:r>
            <w:r>
              <w:rPr>
                <w:sz w:val="20"/>
                <w:szCs w:val="20"/>
                <w:lang w:val="en-US"/>
              </w:rPr>
              <w:t>ac</w:t>
            </w:r>
            <w:r w:rsidRPr="00B74007">
              <w:rPr>
                <w:sz w:val="20"/>
                <w:szCs w:val="20"/>
                <w:lang w:val="el-GR"/>
              </w:rPr>
              <w:t>.</w:t>
            </w:r>
            <w:r>
              <w:rPr>
                <w:sz w:val="20"/>
                <w:szCs w:val="20"/>
                <w:lang w:val="en-US"/>
              </w:rPr>
              <w:t>eap</w:t>
            </w:r>
            <w:r w:rsidRPr="00B74007">
              <w:rPr>
                <w:sz w:val="20"/>
                <w:szCs w:val="20"/>
                <w:lang w:val="el-GR"/>
              </w:rPr>
              <w:t>.</w:t>
            </w:r>
            <w:r>
              <w:rPr>
                <w:sz w:val="20"/>
                <w:szCs w:val="20"/>
                <w:lang w:val="en-US"/>
              </w:rPr>
              <w:t>gr</w:t>
            </w:r>
          </w:p>
        </w:tc>
      </w:tr>
    </w:tbl>
    <w:p w14:paraId="7FD31072" w14:textId="3B84826B" w:rsidR="002A0691" w:rsidRDefault="002A0691" w:rsidP="00F023D2">
      <w:pPr>
        <w:pStyle w:val="IEEETitle"/>
        <w:rPr>
          <w:b/>
          <w:bCs/>
          <w:i/>
          <w:iCs/>
          <w:sz w:val="18"/>
          <w:szCs w:val="18"/>
        </w:rPr>
      </w:pPr>
    </w:p>
    <w:p w14:paraId="0C7C5DB3" w14:textId="5F2ADE0C" w:rsidR="009A2913" w:rsidRPr="009A2913" w:rsidRDefault="009A2913" w:rsidP="009A2913">
      <w:pPr>
        <w:tabs>
          <w:tab w:val="left" w:pos="2190"/>
        </w:tabs>
        <w:rPr>
          <w:rFonts w:ascii="Times New Roman" w:hAnsi="Times New Roman" w:cs="Times New Roman"/>
          <w:sz w:val="18"/>
          <w:szCs w:val="18"/>
        </w:rPr>
        <w:sectPr w:rsidR="009A2913" w:rsidRPr="009A2913" w:rsidSect="00BE75CB">
          <w:headerReference w:type="default" r:id="rId7"/>
          <w:pgSz w:w="11906" w:h="16838"/>
          <w:pgMar w:top="1440" w:right="1800" w:bottom="1440" w:left="1800" w:header="708" w:footer="708" w:gutter="0"/>
          <w:cols w:space="708"/>
          <w:docGrid w:linePitch="360"/>
        </w:sectPr>
      </w:pPr>
      <w:r>
        <w:rPr>
          <w:rFonts w:ascii="Times New Roman" w:hAnsi="Times New Roman" w:cs="Times New Roman"/>
          <w:sz w:val="18"/>
          <w:szCs w:val="18"/>
        </w:rPr>
        <w:tab/>
      </w:r>
    </w:p>
    <w:p w14:paraId="37F95190" w14:textId="1E581286" w:rsidR="007959D3" w:rsidRPr="00F26827" w:rsidRDefault="009225C8" w:rsidP="007959D3">
      <w:pPr>
        <w:spacing w:after="0"/>
        <w:jc w:val="both"/>
        <w:rPr>
          <w:rFonts w:ascii="Times New Roman" w:eastAsia="Times New Roman" w:hAnsi="Times New Roman" w:cs="Times New Roman"/>
          <w:b/>
          <w:bCs/>
          <w:i/>
          <w:iCs/>
          <w:kern w:val="0"/>
          <w:sz w:val="18"/>
          <w:szCs w:val="18"/>
          <w:lang w:eastAsia="el-GR"/>
          <w14:ligatures w14:val="none"/>
        </w:rPr>
      </w:pPr>
      <w:r w:rsidRPr="00F26827">
        <w:rPr>
          <w:rFonts w:ascii="Times New Roman" w:hAnsi="Times New Roman" w:cs="Times New Roman"/>
          <w:b/>
          <w:bCs/>
          <w:i/>
          <w:iCs/>
          <w:sz w:val="18"/>
          <w:szCs w:val="18"/>
        </w:rPr>
        <w:t xml:space="preserve">Περίληψη- </w:t>
      </w:r>
      <w:r w:rsidR="00F26827" w:rsidRPr="00F26827">
        <w:rPr>
          <w:rFonts w:ascii="Times New Roman" w:eastAsia="Times New Roman" w:hAnsi="Times New Roman" w:cs="Times New Roman"/>
          <w:b/>
          <w:bCs/>
          <w:i/>
          <w:iCs/>
          <w:sz w:val="18"/>
          <w:szCs w:val="18"/>
        </w:rPr>
        <w:t xml:space="preserve">Η παρούσα διπλωματική εργασία εξετάζει τις εργασίες συγκόλλησης ως κρίσιμη τεχνικοοικονομική διεργασία σε τεχνικά και βιομηχανικά έργα. </w:t>
      </w:r>
      <w:r w:rsidR="007959D3" w:rsidRPr="007959D3">
        <w:rPr>
          <w:rFonts w:ascii="Times New Roman" w:eastAsia="Times New Roman" w:hAnsi="Times New Roman" w:cs="Times New Roman"/>
          <w:b/>
          <w:bCs/>
          <w:i/>
          <w:iCs/>
          <w:sz w:val="18"/>
          <w:szCs w:val="18"/>
        </w:rPr>
        <w:t xml:space="preserve"> </w:t>
      </w:r>
      <w:r w:rsidR="00F26827" w:rsidRPr="00F26827">
        <w:rPr>
          <w:rFonts w:ascii="Times New Roman" w:eastAsia="Times New Roman" w:hAnsi="Times New Roman" w:cs="Times New Roman"/>
          <w:b/>
          <w:bCs/>
          <w:i/>
          <w:iCs/>
          <w:sz w:val="18"/>
          <w:szCs w:val="18"/>
        </w:rPr>
        <w:t xml:space="preserve">Αντικείμενο της εργασίας είναι η ανάπτυξη και εφαρμογή πλαισίου αξιολόγησης που </w:t>
      </w:r>
      <w:r w:rsidR="007959D3" w:rsidRPr="00F26827">
        <w:rPr>
          <w:rFonts w:ascii="Times New Roman" w:eastAsia="Times New Roman" w:hAnsi="Times New Roman" w:cs="Times New Roman"/>
          <w:b/>
          <w:bCs/>
          <w:i/>
          <w:iCs/>
          <w:sz w:val="18"/>
          <w:szCs w:val="18"/>
        </w:rPr>
        <w:t>συνδέει τη μέθοδο συγκόλλησης με την ποιότητα, τους μη καταστροφικούς ελέγχους (NDT), τις επισκευές, την παραγωγικότητα, το Κόστος Ποιότητας (Cost of Quality - CoQ) και το ρίσκο σε επίπεδο έργου.</w:t>
      </w:r>
    </w:p>
    <w:p w14:paraId="618FF4B9" w14:textId="289981A1" w:rsidR="00E316EF" w:rsidRPr="005E1422" w:rsidRDefault="00E316EF" w:rsidP="005E1422">
      <w:pPr>
        <w:pStyle w:val="ListParagraph"/>
        <w:numPr>
          <w:ilvl w:val="0"/>
          <w:numId w:val="1"/>
        </w:numPr>
        <w:spacing w:before="100" w:beforeAutospacing="1" w:after="100" w:afterAutospacing="1" w:line="240" w:lineRule="auto"/>
        <w:ind w:left="357" w:hanging="357"/>
        <w:jc w:val="both"/>
        <w:outlineLvl w:val="1"/>
        <w:rPr>
          <w:rFonts w:ascii="Times New Roman" w:eastAsia="Times New Roman" w:hAnsi="Times New Roman" w:cs="Times New Roman"/>
          <w:b/>
          <w:bCs/>
          <w:kern w:val="0"/>
          <w:sz w:val="20"/>
          <w:szCs w:val="20"/>
          <w:lang w:eastAsia="el-GR"/>
          <w14:ligatures w14:val="none"/>
        </w:rPr>
      </w:pPr>
      <w:r w:rsidRPr="005E1422">
        <w:rPr>
          <w:rFonts w:ascii="Times New Roman" w:eastAsia="Times New Roman" w:hAnsi="Times New Roman" w:cs="Times New Roman"/>
          <w:b/>
          <w:bCs/>
          <w:kern w:val="0"/>
          <w:sz w:val="20"/>
          <w:szCs w:val="20"/>
          <w:lang w:eastAsia="el-GR"/>
          <w14:ligatures w14:val="none"/>
        </w:rPr>
        <w:t>Ε</w:t>
      </w:r>
      <w:r w:rsidR="005E1422">
        <w:rPr>
          <w:rFonts w:ascii="Times New Roman" w:eastAsia="Times New Roman" w:hAnsi="Times New Roman" w:cs="Times New Roman"/>
          <w:b/>
          <w:bCs/>
          <w:kern w:val="0"/>
          <w:sz w:val="20"/>
          <w:szCs w:val="20"/>
          <w:lang w:eastAsia="el-GR"/>
          <w14:ligatures w14:val="none"/>
        </w:rPr>
        <w:t>ΙΣΑΓΩΓΗ</w:t>
      </w:r>
    </w:p>
    <w:p w14:paraId="3640BA64" w14:textId="7CACA571" w:rsidR="00947B4E" w:rsidRDefault="00775202" w:rsidP="00947B4E">
      <w:pPr>
        <w:spacing w:after="0" w:line="240" w:lineRule="auto"/>
        <w:rPr>
          <w:rFonts w:ascii="Times New Roman" w:eastAsia="Times New Roman" w:hAnsi="Times New Roman" w:cs="Times New Roman"/>
          <w:kern w:val="0"/>
          <w:sz w:val="20"/>
          <w:szCs w:val="20"/>
          <w:lang w:eastAsia="el-GR"/>
          <w14:ligatures w14:val="none"/>
        </w:rPr>
      </w:pPr>
      <w:r>
        <w:rPr>
          <w:rFonts w:ascii="Times New Roman" w:eastAsia="Times New Roman" w:hAnsi="Times New Roman" w:cs="Times New Roman"/>
          <w:kern w:val="0"/>
          <w:sz w:val="20"/>
          <w:szCs w:val="20"/>
          <w:lang w:eastAsia="el-GR"/>
          <w14:ligatures w14:val="none"/>
        </w:rPr>
        <w:t xml:space="preserve">     </w:t>
      </w:r>
      <w:r w:rsidR="00E316EF" w:rsidRPr="00783180">
        <w:rPr>
          <w:rFonts w:ascii="Times New Roman" w:eastAsia="Times New Roman" w:hAnsi="Times New Roman" w:cs="Times New Roman"/>
          <w:kern w:val="0"/>
          <w:sz w:val="20"/>
          <w:szCs w:val="20"/>
          <w:lang w:eastAsia="el-GR"/>
          <w14:ligatures w14:val="none"/>
        </w:rPr>
        <w:t>Σε έργα σωληνώσεων, αγωγών και σιδηροκατασκευών, μια συγκόλληση που δεν εκτελείται σωστά μπορεί να δημιουργήσει επισκευές, επαναληπτικούς ελέγχους, καθυστερήσεις και πρόσθετο κόστος.</w:t>
      </w:r>
      <w:r>
        <w:rPr>
          <w:rFonts w:ascii="Times New Roman" w:eastAsia="Times New Roman" w:hAnsi="Times New Roman" w:cs="Times New Roman"/>
          <w:kern w:val="0"/>
          <w:sz w:val="20"/>
          <w:szCs w:val="20"/>
          <w:lang w:eastAsia="el-GR"/>
          <w14:ligatures w14:val="none"/>
        </w:rPr>
        <w:t xml:space="preserve"> </w:t>
      </w:r>
      <w:r w:rsidR="00E316EF" w:rsidRPr="00783180">
        <w:rPr>
          <w:rFonts w:ascii="Times New Roman" w:eastAsia="Times New Roman" w:hAnsi="Times New Roman" w:cs="Times New Roman"/>
          <w:kern w:val="0"/>
          <w:sz w:val="20"/>
          <w:szCs w:val="20"/>
          <w:lang w:eastAsia="el-GR"/>
          <w14:ligatures w14:val="none"/>
        </w:rPr>
        <w:t>Στην πράξη, το θέμα δεν είναι μόνο ποια μέθοδος συγκόλλησης είναι πιο γρήγορη ή πιο οικονομική στην αρχή. Το ουσιαστικό είναι ποια μέθοδος και ποια οργάνωση οδηγεί σε λιγότερα ελαττώματα, λιγότερες επισκευές και πιο σταθερή ροή εργασιών. Μία μέθοδος μπορεί να φαίνεται παραγωγική επειδή δίνει γρήγορη εκτέλεση, όμως αν στη συνέχεια δημιουργήσει απορρίψεις στους ελέγχους, τότε το έργο τελικά χάνει χρόνο και χρήματα. Άρα η παραγωγικότητα δεν πρέπει να μετριέται μόνο από το πόσο γρήγορα γίνεται η συγκόλληση, αλλά και από το πόσο σωστά ολοκληρώνεται και γίνεται αποδεκτή.</w:t>
      </w:r>
      <w:r>
        <w:rPr>
          <w:rFonts w:ascii="Times New Roman" w:eastAsia="Times New Roman" w:hAnsi="Times New Roman" w:cs="Times New Roman"/>
          <w:kern w:val="0"/>
          <w:sz w:val="20"/>
          <w:szCs w:val="20"/>
          <w:lang w:eastAsia="el-GR"/>
          <w14:ligatures w14:val="none"/>
        </w:rPr>
        <w:t xml:space="preserve"> </w:t>
      </w:r>
      <w:r w:rsidR="00E316EF" w:rsidRPr="00783180">
        <w:rPr>
          <w:rFonts w:ascii="Times New Roman" w:eastAsia="Times New Roman" w:hAnsi="Times New Roman" w:cs="Times New Roman"/>
          <w:kern w:val="0"/>
          <w:sz w:val="20"/>
          <w:szCs w:val="20"/>
          <w:lang w:eastAsia="el-GR"/>
          <w14:ligatures w14:val="none"/>
        </w:rPr>
        <w:t xml:space="preserve">Για τον λόγο αυτό, η εργασία συνδέει τη μέθοδο συγκόλλησης με τους μη καταστροφικούς ελέγχους, τις επισκευές, την παραγωγικότητα, το Κόστος Ποιότητας και το ρίσκο. Η βασική λογική είναι ότι η συγκόλληση πρέπει να οργανώνεται σωστά από την αρχή. Η πρόληψη, ο σωστός οπτικός έλεγχος, η τήρηση των WPS, η κατάλληλη πιστοποίηση των συγκολλητών και ο έγκαιρος προγραμματισμός των NDT μειώνουν τα προβλήματα πριν αυτά εμφανιστούν σε </w:t>
      </w:r>
      <w:r w:rsidR="00E316EF" w:rsidRPr="00783180">
        <w:rPr>
          <w:rFonts w:ascii="Times New Roman" w:eastAsia="Times New Roman" w:hAnsi="Times New Roman" w:cs="Times New Roman"/>
          <w:kern w:val="0"/>
          <w:sz w:val="20"/>
          <w:szCs w:val="20"/>
          <w:lang w:eastAsia="el-GR"/>
          <w14:ligatures w14:val="none"/>
        </w:rPr>
        <w:t>προχωρημένο στάδιο του έργου.</w:t>
      </w:r>
      <w:r>
        <w:rPr>
          <w:rFonts w:ascii="Times New Roman" w:eastAsia="Times New Roman" w:hAnsi="Times New Roman" w:cs="Times New Roman"/>
          <w:kern w:val="0"/>
          <w:sz w:val="20"/>
          <w:szCs w:val="20"/>
          <w:lang w:eastAsia="el-GR"/>
          <w14:ligatures w14:val="none"/>
        </w:rPr>
        <w:t xml:space="preserve">                                                                                                                                                        </w:t>
      </w:r>
      <w:r w:rsidR="00947B4E">
        <w:rPr>
          <w:rFonts w:ascii="Times New Roman" w:eastAsia="Times New Roman" w:hAnsi="Times New Roman" w:cs="Times New Roman"/>
          <w:kern w:val="0"/>
          <w:sz w:val="20"/>
          <w:szCs w:val="20"/>
          <w:lang w:eastAsia="el-GR"/>
          <w14:ligatures w14:val="none"/>
        </w:rPr>
        <w:t xml:space="preserve">     </w:t>
      </w:r>
      <w:r w:rsidR="00E316EF" w:rsidRPr="00783180">
        <w:rPr>
          <w:rFonts w:ascii="Times New Roman" w:eastAsia="Times New Roman" w:hAnsi="Times New Roman" w:cs="Times New Roman"/>
          <w:kern w:val="0"/>
          <w:sz w:val="20"/>
          <w:szCs w:val="20"/>
          <w:lang w:eastAsia="el-GR"/>
          <w14:ligatures w14:val="none"/>
        </w:rPr>
        <w:t xml:space="preserve">Στα βιομηχανικά έργα, η συγκόλληση συνδέεται με πολλά στάδια. Πριν γίνει η συγκόλληση υπάρχει το </w:t>
      </w:r>
      <w:r w:rsidR="00022DE3">
        <w:rPr>
          <w:rFonts w:ascii="Times New Roman" w:eastAsia="Times New Roman" w:hAnsi="Times New Roman" w:cs="Times New Roman"/>
          <w:kern w:val="0"/>
          <w:sz w:val="20"/>
          <w:szCs w:val="20"/>
          <w:lang w:eastAsia="el-GR"/>
          <w14:ligatures w14:val="none"/>
        </w:rPr>
        <w:t>μοντάρισμα</w:t>
      </w:r>
      <w:r w:rsidR="00E316EF" w:rsidRPr="00783180">
        <w:rPr>
          <w:rFonts w:ascii="Times New Roman" w:eastAsia="Times New Roman" w:hAnsi="Times New Roman" w:cs="Times New Roman"/>
          <w:kern w:val="0"/>
          <w:sz w:val="20"/>
          <w:szCs w:val="20"/>
          <w:lang w:eastAsia="el-GR"/>
          <w14:ligatures w14:val="none"/>
        </w:rPr>
        <w:t xml:space="preserve">, η προετοιμασία, ο καθαρισμός, η επιλογή αναλωσίμων, η εφαρμογή της διαδικασίας και η διασφάλιση ότι ο συγκολλητής είναι πιστοποιημένος για την εργασία που εκτελεί. Μετά τη συγκόλληση ακολουθεί ο οπτικός έλεγχος, οι μη καταστροφικοί έλεγχοι, η αποδοχή ή η απόρριψη, και σε περίπτωση σφάλματος η επισκευή και ο επανέλεγχος. Αυτή η αλληλουχία δείχνει ότι η συγκόλληση δεν είναι ένα μεμονωμένο βήμα, αλλά μία σειρά εργασιών που πρέπει να λειτουργούν σωστά μεταξύ </w:t>
      </w:r>
      <w:r w:rsidR="00022DE3">
        <w:rPr>
          <w:rFonts w:ascii="Times New Roman" w:eastAsia="Times New Roman" w:hAnsi="Times New Roman" w:cs="Times New Roman"/>
          <w:kern w:val="0"/>
          <w:sz w:val="20"/>
          <w:szCs w:val="20"/>
          <w:lang w:eastAsia="el-GR"/>
          <w14:ligatures w14:val="none"/>
        </w:rPr>
        <w:t xml:space="preserve">τους. </w:t>
      </w:r>
    </w:p>
    <w:p w14:paraId="6153BED9" w14:textId="2ED180A3" w:rsidR="00E316EF" w:rsidRDefault="00E316EF" w:rsidP="00947B4E">
      <w:pPr>
        <w:spacing w:after="0" w:line="240" w:lineRule="auto"/>
        <w:rPr>
          <w:rFonts w:ascii="Times New Roman" w:eastAsia="Times New Roman" w:hAnsi="Times New Roman" w:cs="Times New Roman"/>
          <w:kern w:val="0"/>
          <w:sz w:val="20"/>
          <w:szCs w:val="20"/>
          <w:lang w:eastAsia="el-GR"/>
          <w14:ligatures w14:val="none"/>
        </w:rPr>
      </w:pPr>
      <w:r w:rsidRPr="00783180">
        <w:rPr>
          <w:rFonts w:ascii="Times New Roman" w:eastAsia="Times New Roman" w:hAnsi="Times New Roman" w:cs="Times New Roman"/>
          <w:kern w:val="0"/>
          <w:sz w:val="20"/>
          <w:szCs w:val="20"/>
          <w:lang w:eastAsia="el-GR"/>
          <w14:ligatures w14:val="none"/>
        </w:rPr>
        <w:t>Η εργασία βασίζεται σε τρία πραγματικά έργα διαφορετικού χαρακτήρα. Το πρώτο αφορά βιομηχανικό έργο σωληνώσεων, το δεύτερο αφορά έργο αγωγού φυσικού αερίου και το τρίτο αφορά έργο σιδηροκατασκευής. Μέσα από αυτά τα έργα εξετάζεται πώς αλλάζει η παραγωγικότητα και το ρίσκο ανάλογα με το περιβάλλον εκτέλεσης, τη μέθοδο συγκόλλησης, τους ελέγχους και την ανάγκη για επισκευές.</w:t>
      </w:r>
      <w:r w:rsidR="00947B4E">
        <w:rPr>
          <w:rFonts w:ascii="Times New Roman" w:eastAsia="Times New Roman" w:hAnsi="Times New Roman" w:cs="Times New Roman"/>
          <w:kern w:val="0"/>
          <w:sz w:val="20"/>
          <w:szCs w:val="20"/>
          <w:lang w:eastAsia="el-GR"/>
          <w14:ligatures w14:val="none"/>
        </w:rPr>
        <w:t xml:space="preserve"> </w:t>
      </w:r>
      <w:r w:rsidRPr="00783180">
        <w:rPr>
          <w:rFonts w:ascii="Times New Roman" w:eastAsia="Times New Roman" w:hAnsi="Times New Roman" w:cs="Times New Roman"/>
          <w:kern w:val="0"/>
          <w:sz w:val="20"/>
          <w:szCs w:val="20"/>
          <w:lang w:eastAsia="el-GR"/>
          <w14:ligatures w14:val="none"/>
        </w:rPr>
        <w:t xml:space="preserve">Η διεθνής βιβλιογραφία έχει ασχοληθεί αρκετά με τη συγκόλληση, κυρίως από τεχνική και μεταλλουργική πλευρά. Υπάρχουν εργασίες που εξετάζουν τις μηχανικές ιδιότητες των συγκολλήσεων, τη μικροδομή, τη θερμικά επηρεασμένη ζώνη, τις παραμέτρους συγκόλλησης και τα ελαττώματα. Υπάρχουν επίσης εργασίες που αναφέρονται στην παραγωγικότητα, στους δείκτες απόδοσης, στους ελέγχους και στο κόστος επανεργασιών. Παρόλα αυτά, στην πράξη του έργου όλα αυτά δεν εμφανίζονται χωριστά. Η ποιότητα, ο χρόνος, το κόστος και το ρίσκο συνδέονται μεταξύ τους. Αυτό ακριβώς προσπαθεί να δείξει η εργασία: ότι η συγκόλληση πρέπει να αξιολογείται συνολικά και όχι αποσπασματικά.Βασική θέση της εργασίας είναι ότι η σωστή αρχική εκτέλεση, δηλαδή η </w:t>
      </w:r>
      <w:r w:rsidRPr="00AE0791">
        <w:rPr>
          <w:rFonts w:ascii="Times New Roman" w:eastAsia="Times New Roman" w:hAnsi="Times New Roman" w:cs="Times New Roman"/>
          <w:kern w:val="0"/>
          <w:sz w:val="20"/>
          <w:szCs w:val="20"/>
          <w:lang w:eastAsia="el-GR"/>
          <w14:ligatures w14:val="none"/>
        </w:rPr>
        <w:t>λογική right-first-time, μειώνει</w:t>
      </w:r>
      <w:r w:rsidRPr="00783180">
        <w:rPr>
          <w:rFonts w:ascii="Times New Roman" w:eastAsia="Times New Roman" w:hAnsi="Times New Roman" w:cs="Times New Roman"/>
          <w:kern w:val="0"/>
          <w:sz w:val="20"/>
          <w:szCs w:val="20"/>
          <w:lang w:eastAsia="el-GR"/>
          <w14:ligatures w14:val="none"/>
        </w:rPr>
        <w:t xml:space="preserve"> το </w:t>
      </w:r>
      <w:r w:rsidRPr="00783180">
        <w:rPr>
          <w:rFonts w:ascii="Times New Roman" w:eastAsia="Times New Roman" w:hAnsi="Times New Roman" w:cs="Times New Roman"/>
          <w:kern w:val="0"/>
          <w:sz w:val="20"/>
          <w:szCs w:val="20"/>
          <w:lang w:eastAsia="el-GR"/>
          <w14:ligatures w14:val="none"/>
        </w:rPr>
        <w:lastRenderedPageBreak/>
        <w:t xml:space="preserve">συνολικό κόστος του έργου. Μπορεί στην αρχή να απαιτεί καλύτερη προετοιμασία, περισσότερο έλεγχο και αυστηρότερη τήρηση διαδικασιών, όμως τελικά μειώνει τις επισκευές, τους επαναληπτικούς ελέγχους και </w:t>
      </w:r>
      <w:r w:rsidRPr="00783180">
        <w:rPr>
          <w:rFonts w:ascii="Times New Roman" w:eastAsia="Times New Roman" w:hAnsi="Times New Roman" w:cs="Times New Roman"/>
          <w:kern w:val="0"/>
          <w:sz w:val="20"/>
          <w:szCs w:val="20"/>
          <w:lang w:eastAsia="el-GR"/>
          <w14:ligatures w14:val="none"/>
        </w:rPr>
        <w:t>τις καθυστερήσεις. Έτσι η ποιότητα δεν λειτουργεί ως εμπόδιο στην παραγωγικότητα, αλλά ως προϋπόθεση για πραγματική παραγωγικότητα.</w:t>
      </w:r>
    </w:p>
    <w:p w14:paraId="3064C7DC" w14:textId="77777777" w:rsidR="007959D3" w:rsidRDefault="007959D3" w:rsidP="00947B4E">
      <w:pPr>
        <w:spacing w:after="0" w:line="240" w:lineRule="auto"/>
        <w:rPr>
          <w:rFonts w:ascii="Times New Roman" w:eastAsia="Times New Roman" w:hAnsi="Times New Roman" w:cs="Times New Roman"/>
          <w:kern w:val="0"/>
          <w:sz w:val="20"/>
          <w:szCs w:val="20"/>
          <w:lang w:eastAsia="el-GR"/>
          <w14:ligatures w14:val="none"/>
        </w:rPr>
        <w:sectPr w:rsidR="007959D3" w:rsidSect="007959D3">
          <w:type w:val="continuous"/>
          <w:pgSz w:w="11906" w:h="16838"/>
          <w:pgMar w:top="1440" w:right="1800" w:bottom="1440" w:left="1800" w:header="708" w:footer="708" w:gutter="0"/>
          <w:cols w:num="2" w:space="708"/>
          <w:docGrid w:linePitch="360"/>
        </w:sectPr>
      </w:pPr>
    </w:p>
    <w:p w14:paraId="69DFB2A9" w14:textId="77777777" w:rsidR="00947B4E" w:rsidRDefault="00947B4E" w:rsidP="00947B4E">
      <w:pPr>
        <w:spacing w:after="0" w:line="240" w:lineRule="auto"/>
        <w:rPr>
          <w:rFonts w:ascii="Times New Roman" w:eastAsia="Times New Roman" w:hAnsi="Times New Roman" w:cs="Times New Roman"/>
          <w:kern w:val="0"/>
          <w:sz w:val="20"/>
          <w:szCs w:val="20"/>
          <w:lang w:eastAsia="el-GR"/>
          <w14:ligatures w14:val="none"/>
        </w:rPr>
      </w:pPr>
    </w:p>
    <w:p w14:paraId="3821E54C" w14:textId="77777777" w:rsidR="00947B4E" w:rsidRDefault="00947B4E" w:rsidP="00947B4E">
      <w:pPr>
        <w:spacing w:after="0" w:line="240" w:lineRule="auto"/>
        <w:rPr>
          <w:rFonts w:ascii="Times New Roman" w:eastAsia="Times New Roman" w:hAnsi="Times New Roman" w:cs="Times New Roman"/>
          <w:kern w:val="0"/>
          <w:sz w:val="20"/>
          <w:szCs w:val="20"/>
          <w:lang w:eastAsia="el-GR"/>
          <w14:ligatures w14:val="none"/>
        </w:rPr>
      </w:pPr>
    </w:p>
    <w:p w14:paraId="64CD6F4F" w14:textId="6F831A10" w:rsidR="00E316EF" w:rsidRPr="00AD5724" w:rsidRDefault="00E316EF" w:rsidP="00C1503E">
      <w:pPr>
        <w:pStyle w:val="ListParagraph"/>
        <w:numPr>
          <w:ilvl w:val="0"/>
          <w:numId w:val="1"/>
        </w:numPr>
        <w:spacing w:before="100" w:beforeAutospacing="1" w:after="100" w:afterAutospacing="1" w:line="240" w:lineRule="auto"/>
        <w:ind w:left="357" w:hanging="357"/>
        <w:outlineLvl w:val="1"/>
        <w:rPr>
          <w:rFonts w:ascii="Times New Roman" w:eastAsia="Times New Roman" w:hAnsi="Times New Roman" w:cs="Times New Roman"/>
          <w:b/>
          <w:bCs/>
          <w:kern w:val="0"/>
          <w:sz w:val="20"/>
          <w:szCs w:val="20"/>
          <w:lang w:eastAsia="el-GR"/>
          <w14:ligatures w14:val="none"/>
        </w:rPr>
      </w:pPr>
      <w:r w:rsidRPr="00AD5724">
        <w:rPr>
          <w:rFonts w:ascii="Times New Roman" w:eastAsia="Times New Roman" w:hAnsi="Times New Roman" w:cs="Times New Roman"/>
          <w:b/>
          <w:bCs/>
          <w:kern w:val="0"/>
          <w:sz w:val="20"/>
          <w:szCs w:val="20"/>
          <w:lang w:eastAsia="el-GR"/>
          <w14:ligatures w14:val="none"/>
        </w:rPr>
        <w:t>Μ</w:t>
      </w:r>
      <w:r w:rsidR="00C1503E">
        <w:rPr>
          <w:rFonts w:ascii="Times New Roman" w:eastAsia="Times New Roman" w:hAnsi="Times New Roman" w:cs="Times New Roman"/>
          <w:b/>
          <w:bCs/>
          <w:kern w:val="0"/>
          <w:sz w:val="20"/>
          <w:szCs w:val="20"/>
          <w:lang w:eastAsia="el-GR"/>
          <w14:ligatures w14:val="none"/>
        </w:rPr>
        <w:t>ΕΘΟΔΟΛΟΓΙΑ</w:t>
      </w:r>
    </w:p>
    <w:p w14:paraId="383419CB" w14:textId="01D8158F" w:rsidR="00E316EF" w:rsidRPr="00783180" w:rsidRDefault="00947B4E" w:rsidP="00947B4E">
      <w:pPr>
        <w:spacing w:after="0" w:line="240" w:lineRule="auto"/>
        <w:rPr>
          <w:rFonts w:ascii="Times New Roman" w:eastAsia="Times New Roman" w:hAnsi="Times New Roman" w:cs="Times New Roman"/>
          <w:kern w:val="0"/>
          <w:sz w:val="20"/>
          <w:szCs w:val="20"/>
          <w:lang w:eastAsia="el-GR"/>
          <w14:ligatures w14:val="none"/>
        </w:rPr>
      </w:pPr>
      <w:r>
        <w:rPr>
          <w:rFonts w:ascii="Times New Roman" w:eastAsia="Times New Roman" w:hAnsi="Times New Roman" w:cs="Times New Roman"/>
          <w:kern w:val="0"/>
          <w:sz w:val="20"/>
          <w:szCs w:val="20"/>
          <w:lang w:eastAsia="el-GR"/>
          <w14:ligatures w14:val="none"/>
        </w:rPr>
        <w:t xml:space="preserve">     </w:t>
      </w:r>
      <w:r w:rsidR="00E316EF" w:rsidRPr="00783180">
        <w:rPr>
          <w:rFonts w:ascii="Times New Roman" w:eastAsia="Times New Roman" w:hAnsi="Times New Roman" w:cs="Times New Roman"/>
          <w:kern w:val="0"/>
          <w:sz w:val="20"/>
          <w:szCs w:val="20"/>
          <w:lang w:eastAsia="el-GR"/>
          <w14:ligatures w14:val="none"/>
        </w:rPr>
        <w:t>Η μεθοδολογία της εργασίας βασίζεται στη συγκριτική ανάλυση τριών πραγματικών τεχνικών έργων. Δεν ακολουθείται καθαρά θεωρητική ή εργαστηριακή προσέγγιση, αλλά μια εφαρμοσμένη προσέγγιση, με στόχο να φανεί πώς λειτουργεί η συγκόλληση μέσα σε πραγματικές συνθήκες έργου. Η επιλογή τριών διαφορετικών έργων έγινε ώστε να συγκριθούν διαφορετικά περιβάλλοντα, διαφορετικές μέθοδοι συγκόλλησης, διαφορετικές απαιτήσεις ελέγχου και διαφορετικά επίπεδα ρίσκου.</w:t>
      </w:r>
    </w:p>
    <w:p w14:paraId="41CE5065" w14:textId="77777777" w:rsidR="00E316EF" w:rsidRPr="00783180" w:rsidRDefault="00E316EF" w:rsidP="00947B4E">
      <w:pPr>
        <w:spacing w:after="0" w:line="240" w:lineRule="auto"/>
        <w:rPr>
          <w:rFonts w:ascii="Times New Roman" w:eastAsia="Times New Roman" w:hAnsi="Times New Roman" w:cs="Times New Roman"/>
          <w:kern w:val="0"/>
          <w:sz w:val="20"/>
          <w:szCs w:val="20"/>
          <w:lang w:eastAsia="el-GR"/>
          <w14:ligatures w14:val="none"/>
        </w:rPr>
      </w:pPr>
      <w:r w:rsidRPr="00783180">
        <w:rPr>
          <w:rFonts w:ascii="Times New Roman" w:eastAsia="Times New Roman" w:hAnsi="Times New Roman" w:cs="Times New Roman"/>
          <w:kern w:val="0"/>
          <w:sz w:val="20"/>
          <w:szCs w:val="20"/>
          <w:lang w:eastAsia="el-GR"/>
          <w14:ligatures w14:val="none"/>
        </w:rPr>
        <w:t>Το πρώτο έργο αφορά βιομηχανικό έργο σωληνώσεων σε διυλιστηριακό περιβάλλον. Σε αυτού του τύπου τα έργα υπάρχουν συγκολλήσεις τόσο σε ατελιέ όσο και στο πεδίο. Συνήθως εφαρμόζεται συνδυασμός μεθόδων, όπως GTAW στη ρίζα και SMAW στα γεμίσματα και στα τελειώματα. Το έργο αυτό έχει ιδιαίτερο ενδιαφέρον γιατί περιλαμβάνει πολλές διαφορετικές συνθήκες: προκατασκευή, συγκολλήσεις εργοταξίου, tie-ins, μικρές διαμέτρους, socket welds, απαιτήσεις NDT και ανάγκη σωστής τεκμηρίωσης. Όλα αυτά αυξάνουν την πιθανότητα να δημιουργηθούν καθυστερήσεις ή επισκευές, εάν δεν υπάρχει σωστή οργάνωση.</w:t>
      </w:r>
    </w:p>
    <w:p w14:paraId="22EF0FC1" w14:textId="77777777" w:rsidR="00E316EF" w:rsidRPr="00783180" w:rsidRDefault="00E316EF" w:rsidP="00947B4E">
      <w:pPr>
        <w:spacing w:after="0" w:line="240" w:lineRule="auto"/>
        <w:rPr>
          <w:rFonts w:ascii="Times New Roman" w:eastAsia="Times New Roman" w:hAnsi="Times New Roman" w:cs="Times New Roman"/>
          <w:kern w:val="0"/>
          <w:sz w:val="20"/>
          <w:szCs w:val="20"/>
          <w:lang w:eastAsia="el-GR"/>
          <w14:ligatures w14:val="none"/>
        </w:rPr>
      </w:pPr>
      <w:r w:rsidRPr="00783180">
        <w:rPr>
          <w:rFonts w:ascii="Times New Roman" w:eastAsia="Times New Roman" w:hAnsi="Times New Roman" w:cs="Times New Roman"/>
          <w:kern w:val="0"/>
          <w:sz w:val="20"/>
          <w:szCs w:val="20"/>
          <w:lang w:eastAsia="el-GR"/>
          <w14:ligatures w14:val="none"/>
        </w:rPr>
        <w:t>Το δεύτερο έργο αφορά αγωγό φυσικού αερίου. Σε έργα αγωγών υπάρχει μεγάλος αριθμός επαναλαμβανόμενων συγκολλήσεων και μεγαλύτερη δυνατότητα τυποποίησης. Όταν το πεδίο και η γεωμετρία το επιτρέπουν, μπορούν να χρησιμοποιηθούν μηχανοποιημένες ή αυτοματοποιημένες μέθοδοι συγκόλλησης, οι οποίες αυξάνουν την παραγωγικότητα και μειώνουν τη μεταβλητότητα. Παρόλα αυτά, υπάρχουν και σημεία όπου η αυτοματοποίηση δεν μπορεί να εφαρμοστεί πλήρως, όπως τα tie-ins. Εκεί η εργασία εξαρτάται περισσότερο από τον άνθρωπο, την πρόσβαση, το fit-up και τις συνθήκες του πεδίου.</w:t>
      </w:r>
    </w:p>
    <w:p w14:paraId="483C2984" w14:textId="77777777" w:rsidR="00E316EF" w:rsidRPr="00783180" w:rsidRDefault="00E316EF" w:rsidP="00947B4E">
      <w:pPr>
        <w:spacing w:after="0" w:line="240" w:lineRule="auto"/>
        <w:rPr>
          <w:rFonts w:ascii="Times New Roman" w:eastAsia="Times New Roman" w:hAnsi="Times New Roman" w:cs="Times New Roman"/>
          <w:kern w:val="0"/>
          <w:sz w:val="20"/>
          <w:szCs w:val="20"/>
          <w:lang w:eastAsia="el-GR"/>
          <w14:ligatures w14:val="none"/>
        </w:rPr>
      </w:pPr>
      <w:r w:rsidRPr="00783180">
        <w:rPr>
          <w:rFonts w:ascii="Times New Roman" w:eastAsia="Times New Roman" w:hAnsi="Times New Roman" w:cs="Times New Roman"/>
          <w:kern w:val="0"/>
          <w:sz w:val="20"/>
          <w:szCs w:val="20"/>
          <w:lang w:eastAsia="el-GR"/>
          <w14:ligatures w14:val="none"/>
        </w:rPr>
        <w:t xml:space="preserve">Το τρίτο έργο αφορά σιδηροκατασκευή. Στην περίπτωση αυτή εξετάζεται κυρίως η σχέση μεταξύ προκατασκευής και εργασιών πεδίου. Η συγκόλληση σε ατελιέ γίνεται σε πιο ελεγχόμενο περιβάλλον, άρα μπορεί να έχει καλύτερη ποιότητα και μεγαλύτερη προβλεψιμότητα. Όταν όμως υπάρχουν </w:t>
      </w:r>
      <w:r w:rsidRPr="00783180">
        <w:rPr>
          <w:rFonts w:ascii="Times New Roman" w:eastAsia="Times New Roman" w:hAnsi="Times New Roman" w:cs="Times New Roman"/>
          <w:kern w:val="0"/>
          <w:sz w:val="20"/>
          <w:szCs w:val="20"/>
          <w:lang w:eastAsia="el-GR"/>
          <w14:ligatures w14:val="none"/>
        </w:rPr>
        <w:t>σφάλματα στην προκατασκευή ή στην ανέγερση, τότε απαιτούνται διορθώσεις στο εργοτάξιο. Οι διορθώσεις αυτές αυξάνουν τον μη παραγωγικό χρόνο, δυσκολεύουν τον προγραμματισμό και επιβαρύνουν το κόστος.</w:t>
      </w:r>
    </w:p>
    <w:p w14:paraId="471194F4" w14:textId="77777777" w:rsidR="00E316EF" w:rsidRPr="00783180" w:rsidRDefault="00E316EF" w:rsidP="00947B4E">
      <w:pPr>
        <w:spacing w:after="0" w:line="240" w:lineRule="auto"/>
        <w:rPr>
          <w:rFonts w:ascii="Times New Roman" w:eastAsia="Times New Roman" w:hAnsi="Times New Roman" w:cs="Times New Roman"/>
          <w:kern w:val="0"/>
          <w:sz w:val="20"/>
          <w:szCs w:val="20"/>
          <w:lang w:eastAsia="el-GR"/>
          <w14:ligatures w14:val="none"/>
        </w:rPr>
      </w:pPr>
      <w:r w:rsidRPr="00783180">
        <w:rPr>
          <w:rFonts w:ascii="Times New Roman" w:eastAsia="Times New Roman" w:hAnsi="Times New Roman" w:cs="Times New Roman"/>
          <w:kern w:val="0"/>
          <w:sz w:val="20"/>
          <w:szCs w:val="20"/>
          <w:lang w:eastAsia="el-GR"/>
          <w14:ligatures w14:val="none"/>
        </w:rPr>
        <w:t>Για κάθε έργο εξετάζονται οι μέθοδοι συγκόλλησης που εφαρμόζονται, το περιβάλλον εργασίας, οι απαιτήσεις ποιότητας, οι έλεγχοι, οι επισκευές και οι επιπτώσεις στο πρόγραμμα και στο κόστος. Η ανάλυση δεν περιορίζεται στο πόσες συγκολλήσεις έγιναν, αλλά εξετάζει τι συνέβη γύρω από αυτές τις συγκολλήσεις: πόσος χρόνος χάθηκε σε αναμονές, πόσο επηρέασαν οι έλεγχοι τη ροή εργασιών, πόσες επισκευές εμφανίστηκαν και πώς όλα αυτά επηρέασαν το έργο.</w:t>
      </w:r>
    </w:p>
    <w:p w14:paraId="088C32FB" w14:textId="77777777" w:rsidR="00E316EF" w:rsidRPr="00783180" w:rsidRDefault="00E316EF" w:rsidP="00947B4E">
      <w:pPr>
        <w:spacing w:after="0" w:line="240" w:lineRule="auto"/>
        <w:rPr>
          <w:rFonts w:ascii="Times New Roman" w:eastAsia="Times New Roman" w:hAnsi="Times New Roman" w:cs="Times New Roman"/>
          <w:kern w:val="0"/>
          <w:sz w:val="20"/>
          <w:szCs w:val="20"/>
          <w:lang w:eastAsia="el-GR"/>
          <w14:ligatures w14:val="none"/>
        </w:rPr>
      </w:pPr>
      <w:r w:rsidRPr="00783180">
        <w:rPr>
          <w:rFonts w:ascii="Times New Roman" w:eastAsia="Times New Roman" w:hAnsi="Times New Roman" w:cs="Times New Roman"/>
          <w:kern w:val="0"/>
          <w:sz w:val="20"/>
          <w:szCs w:val="20"/>
          <w:lang w:eastAsia="el-GR"/>
          <w14:ligatures w14:val="none"/>
        </w:rPr>
        <w:t>Σημαντικό μέρος της μεθοδολογίας είναι η χρήση δεικτών παραγωγικότητας. Οι βασικοί δείκτες είναι ο χρόνος τόξου, η αποδοτικότητα συγκόλλησης και ο μη παραγωγικός χρόνος. Ο χρόνος τόξου δείχνει το ποσοστό του χρόνου κατά το οποίο γίνεται πραγματικά συγκόλληση. Όμως στην πράξη, ειδικά στο εργοτάξιο, ο χρόνος αυτός μειώνεται από αναμονές, μετακινήσεις, αλλαγές αναλωσίμων, ελέγχους, fit-up και επισκευές. Για αυτόν τον λόγο εξετάζεται και ο μη παραγωγικός χρόνος, ώστε να φανεί από πού προέρχονται οι απώλειες.</w:t>
      </w:r>
    </w:p>
    <w:p w14:paraId="058C6E9A" w14:textId="77777777" w:rsidR="00E316EF" w:rsidRPr="00783180" w:rsidRDefault="00E316EF" w:rsidP="00947B4E">
      <w:pPr>
        <w:spacing w:after="0" w:line="240" w:lineRule="auto"/>
        <w:rPr>
          <w:rFonts w:ascii="Times New Roman" w:eastAsia="Times New Roman" w:hAnsi="Times New Roman" w:cs="Times New Roman"/>
          <w:kern w:val="0"/>
          <w:sz w:val="20"/>
          <w:szCs w:val="20"/>
          <w:lang w:eastAsia="el-GR"/>
          <w14:ligatures w14:val="none"/>
        </w:rPr>
      </w:pPr>
      <w:r w:rsidRPr="00783180">
        <w:rPr>
          <w:rFonts w:ascii="Times New Roman" w:eastAsia="Times New Roman" w:hAnsi="Times New Roman" w:cs="Times New Roman"/>
          <w:kern w:val="0"/>
          <w:sz w:val="20"/>
          <w:szCs w:val="20"/>
          <w:lang w:eastAsia="el-GR"/>
          <w14:ligatures w14:val="none"/>
        </w:rPr>
        <w:t>Εξετάζεται επίσης η ποιότητα των συγκολλήσεων μέσω των ελέγχων και των επισκευών. Οι μη καταστροφικοί έλεγχοι, όπως VT, PT, RT και UT, δεν αντιμετωπίζονται μόνο ως τεχνικοί έλεγχοι αποδοχής, αλλά ως μέρος της ροής του έργου. Αν ο έλεγχος γίνεται έγκαιρα, μπορεί να προλάβει μεγαλύτερα προβλήματα. Αν γίνεται καθυστερημένα, τότε ένα ελάττωμα μπορεί να εντοπιστεί όταν πλέον η επισκευή είναι πιο δύσκολη και επηρεάζει το πρόγραμμα.</w:t>
      </w:r>
    </w:p>
    <w:p w14:paraId="777BABE3" w14:textId="77777777" w:rsidR="00E316EF" w:rsidRPr="00783180" w:rsidRDefault="00E316EF" w:rsidP="00947B4E">
      <w:pPr>
        <w:spacing w:after="0" w:line="240" w:lineRule="auto"/>
        <w:rPr>
          <w:rFonts w:ascii="Times New Roman" w:eastAsia="Times New Roman" w:hAnsi="Times New Roman" w:cs="Times New Roman"/>
          <w:kern w:val="0"/>
          <w:sz w:val="20"/>
          <w:szCs w:val="20"/>
          <w:lang w:eastAsia="el-GR"/>
          <w14:ligatures w14:val="none"/>
        </w:rPr>
      </w:pPr>
      <w:r w:rsidRPr="00783180">
        <w:rPr>
          <w:rFonts w:ascii="Times New Roman" w:eastAsia="Times New Roman" w:hAnsi="Times New Roman" w:cs="Times New Roman"/>
          <w:kern w:val="0"/>
          <w:sz w:val="20"/>
          <w:szCs w:val="20"/>
          <w:lang w:eastAsia="el-GR"/>
          <w14:ligatures w14:val="none"/>
        </w:rPr>
        <w:t>Η εργασία χρησιμοποιεί επίσης την έννοια του Κόστους Ποιότητας. Το Κόστος Ποιότητας χωρίζεται σε κόστος πρόληψης, κόστος ελέγχου και κόστος αστοχίας. Το κόστος πρόληψης περιλαμβάνει ενέργειες όπως η σωστή επιλογή διαδικασίας, η εκπαίδευση, η πιστοποίηση, η τήρηση των WPS και ο αρχικός έλεγχος. Το κόστος ελέγχου περιλαμβάνει τους μη καταστροφικούς ελέγχους και τις επιθεωρήσεις. Το κόστος αστοχίας περιλαμβάνει τις επισκευές, τους επαναληπτικούς ελέγχους, τις καθυστερήσεις και τις επιπτώσεις στο χρονοδιάγραμμα.</w:t>
      </w:r>
    </w:p>
    <w:p w14:paraId="5E7E082B" w14:textId="77777777" w:rsidR="00E316EF" w:rsidRPr="00783180" w:rsidRDefault="00E316EF" w:rsidP="00947B4E">
      <w:pPr>
        <w:spacing w:after="0" w:line="240" w:lineRule="auto"/>
        <w:rPr>
          <w:rFonts w:ascii="Times New Roman" w:eastAsia="Times New Roman" w:hAnsi="Times New Roman" w:cs="Times New Roman"/>
          <w:kern w:val="0"/>
          <w:sz w:val="20"/>
          <w:szCs w:val="20"/>
          <w:lang w:eastAsia="el-GR"/>
          <w14:ligatures w14:val="none"/>
        </w:rPr>
      </w:pPr>
      <w:r w:rsidRPr="00783180">
        <w:rPr>
          <w:rFonts w:ascii="Times New Roman" w:eastAsia="Times New Roman" w:hAnsi="Times New Roman" w:cs="Times New Roman"/>
          <w:kern w:val="0"/>
          <w:sz w:val="20"/>
          <w:szCs w:val="20"/>
          <w:lang w:eastAsia="el-GR"/>
          <w14:ligatures w14:val="none"/>
        </w:rPr>
        <w:t xml:space="preserve">Η ανάλυση ρίσκου γίνεται σε τρία επίπεδα: τεχνικό, χρονικό και οικονομικό. Το τεχνικό </w:t>
      </w:r>
      <w:r w:rsidRPr="00783180">
        <w:rPr>
          <w:rFonts w:ascii="Times New Roman" w:eastAsia="Times New Roman" w:hAnsi="Times New Roman" w:cs="Times New Roman"/>
          <w:kern w:val="0"/>
          <w:sz w:val="20"/>
          <w:szCs w:val="20"/>
          <w:lang w:eastAsia="el-GR"/>
          <w14:ligatures w14:val="none"/>
        </w:rPr>
        <w:lastRenderedPageBreak/>
        <w:t>ρίσκο αφορά την πιθανότητα να εμφανιστούν ελαττώματα ή μη αποδεκτές συγκολλήσεις. Το χρονικό ρίσκο αφορά τις καθυστερήσεις που μπορεί να δημιουργηθούν από αναμονές, repairs και NDT loops. Το οικονομικό ρίσκο αφορά την αύξηση του κόστους λόγω επισκευών, πρόσθετων ελέγχων και καθυστερήσεων. Με αυτόν τον τρόπο, η εργασία προσπαθεί να δείξει ότι ένα τεχνικό πρόβλημα στη συγκόλληση μπορεί γρήγορα να γίνει πρόβλημα προγράμματος και κόστους.</w:t>
      </w:r>
    </w:p>
    <w:p w14:paraId="240C3842" w14:textId="77777777" w:rsidR="00E316EF" w:rsidRPr="00783180" w:rsidRDefault="00E316EF" w:rsidP="00947B4E">
      <w:pPr>
        <w:spacing w:after="0" w:line="240" w:lineRule="auto"/>
        <w:rPr>
          <w:rFonts w:ascii="Times New Roman" w:eastAsia="Times New Roman" w:hAnsi="Times New Roman" w:cs="Times New Roman"/>
          <w:kern w:val="0"/>
          <w:sz w:val="20"/>
          <w:szCs w:val="20"/>
          <w:lang w:eastAsia="el-GR"/>
          <w14:ligatures w14:val="none"/>
        </w:rPr>
      </w:pPr>
      <w:r w:rsidRPr="00783180">
        <w:rPr>
          <w:rFonts w:ascii="Times New Roman" w:eastAsia="Times New Roman" w:hAnsi="Times New Roman" w:cs="Times New Roman"/>
          <w:kern w:val="0"/>
          <w:sz w:val="20"/>
          <w:szCs w:val="20"/>
          <w:lang w:eastAsia="el-GR"/>
          <w14:ligatures w14:val="none"/>
        </w:rPr>
        <w:t xml:space="preserve">Τέλος, η μεθοδολογία καταλήγει στη συγκριτική αξιολόγηση στρατηγικών. Δεν αρκεί να αναλυθούν τα προβλήματα, πρέπει να προκύψει και πρακτική κατεύθυνση. Για αυτό εξετάζεται ποια στρατηγική μειώνει περισσότερο τις επισκευές, τους επαναληπτικούς ελέγχους, το CoQ και το ρίσκο. Η στρατηγική που προκρίνεται είναι η </w:t>
      </w:r>
      <w:r w:rsidRPr="00AE0791">
        <w:rPr>
          <w:rFonts w:ascii="Times New Roman" w:eastAsia="Times New Roman" w:hAnsi="Times New Roman" w:cs="Times New Roman"/>
          <w:kern w:val="0"/>
          <w:sz w:val="20"/>
          <w:szCs w:val="20"/>
          <w:lang w:eastAsia="el-GR"/>
          <w14:ligatures w14:val="none"/>
        </w:rPr>
        <w:t>λογική right-first-time, με</w:t>
      </w:r>
      <w:r w:rsidRPr="00783180">
        <w:rPr>
          <w:rFonts w:ascii="Times New Roman" w:eastAsia="Times New Roman" w:hAnsi="Times New Roman" w:cs="Times New Roman"/>
          <w:kern w:val="0"/>
          <w:sz w:val="20"/>
          <w:szCs w:val="20"/>
          <w:lang w:eastAsia="el-GR"/>
          <w14:ligatures w14:val="none"/>
        </w:rPr>
        <w:t xml:space="preserve"> παράλληλη αξιοποίηση της προκατασκευής όπου αυτό είναι τεχνικά εφικτό.</w:t>
      </w:r>
    </w:p>
    <w:p w14:paraId="03D6FF44" w14:textId="56CCB0B3" w:rsidR="00E316EF" w:rsidRPr="00AD5724" w:rsidRDefault="00553C1C" w:rsidP="00553C1C">
      <w:pPr>
        <w:pStyle w:val="ListParagraph"/>
        <w:numPr>
          <w:ilvl w:val="0"/>
          <w:numId w:val="1"/>
        </w:numPr>
        <w:spacing w:before="100" w:beforeAutospacing="1" w:after="100" w:afterAutospacing="1" w:line="240" w:lineRule="auto"/>
        <w:ind w:left="357" w:hanging="357"/>
        <w:outlineLvl w:val="1"/>
        <w:rPr>
          <w:rFonts w:ascii="Times New Roman" w:eastAsia="Times New Roman" w:hAnsi="Times New Roman" w:cs="Times New Roman"/>
          <w:b/>
          <w:bCs/>
          <w:kern w:val="0"/>
          <w:sz w:val="20"/>
          <w:szCs w:val="20"/>
          <w:lang w:eastAsia="el-GR"/>
          <w14:ligatures w14:val="none"/>
        </w:rPr>
      </w:pPr>
      <w:r>
        <w:rPr>
          <w:rFonts w:ascii="Times New Roman" w:eastAsia="Times New Roman" w:hAnsi="Times New Roman" w:cs="Times New Roman"/>
          <w:b/>
          <w:bCs/>
          <w:kern w:val="0"/>
          <w:sz w:val="20"/>
          <w:szCs w:val="20"/>
          <w:lang w:eastAsia="el-GR"/>
          <w14:ligatures w14:val="none"/>
        </w:rPr>
        <w:t>ΑΠΟΤΕΛΕΣΜΑΤΑ</w:t>
      </w:r>
    </w:p>
    <w:p w14:paraId="6A0B8B86" w14:textId="77777777" w:rsidR="00E316EF" w:rsidRPr="00783180" w:rsidRDefault="00E316EF" w:rsidP="00325DA6">
      <w:pPr>
        <w:spacing w:after="0" w:line="240" w:lineRule="auto"/>
        <w:rPr>
          <w:rFonts w:ascii="Times New Roman" w:eastAsia="Times New Roman" w:hAnsi="Times New Roman" w:cs="Times New Roman"/>
          <w:kern w:val="0"/>
          <w:sz w:val="20"/>
          <w:szCs w:val="20"/>
          <w:lang w:eastAsia="el-GR"/>
          <w14:ligatures w14:val="none"/>
        </w:rPr>
      </w:pPr>
      <w:r w:rsidRPr="00783180">
        <w:rPr>
          <w:rFonts w:ascii="Times New Roman" w:eastAsia="Times New Roman" w:hAnsi="Times New Roman" w:cs="Times New Roman"/>
          <w:kern w:val="0"/>
          <w:sz w:val="20"/>
          <w:szCs w:val="20"/>
          <w:lang w:eastAsia="el-GR"/>
          <w14:ligatures w14:val="none"/>
        </w:rPr>
        <w:t>Τα αποτελέσματα της εργασίας δείχνουν ότι η συγκόλληση επηρεάζει το έργο σε πολλά επίπεδα. Δεν είναι μόνο η εκτέλεση μιας ραφής. Είναι η προετοιμασία πριν τη συγκόλληση, η εκτέλεση, ο έλεγχος, η αποδοχή, η τεκμηρίωση και, όπου απαιτείται, η επισκευή. Κάθε καθυστέρηση ή κάθε απόρριψη σε ένα από αυτά τα στάδια μπορεί να επηρεάσει την επόμενη εργασία και τελικά το συνολικό πρόγραμμα του έργου.</w:t>
      </w:r>
    </w:p>
    <w:p w14:paraId="57F479E1" w14:textId="77777777" w:rsidR="00E316EF" w:rsidRPr="00783180" w:rsidRDefault="00E316EF" w:rsidP="00325DA6">
      <w:pPr>
        <w:spacing w:after="0" w:line="240" w:lineRule="auto"/>
        <w:rPr>
          <w:rFonts w:ascii="Times New Roman" w:eastAsia="Times New Roman" w:hAnsi="Times New Roman" w:cs="Times New Roman"/>
          <w:kern w:val="0"/>
          <w:sz w:val="20"/>
          <w:szCs w:val="20"/>
          <w:lang w:eastAsia="el-GR"/>
          <w14:ligatures w14:val="none"/>
        </w:rPr>
      </w:pPr>
      <w:r w:rsidRPr="00783180">
        <w:rPr>
          <w:rFonts w:ascii="Times New Roman" w:eastAsia="Times New Roman" w:hAnsi="Times New Roman" w:cs="Times New Roman"/>
          <w:kern w:val="0"/>
          <w:sz w:val="20"/>
          <w:szCs w:val="20"/>
          <w:lang w:eastAsia="el-GR"/>
          <w14:ligatures w14:val="none"/>
        </w:rPr>
        <w:t>Στο πρώτο έργο, το βιομηχανικό έργο σωληνώσεων, φάνηκε ότι το μεγαλύτερο ρίσκο εμφανίζεται στις συγκολλήσεις πεδίου. Εκεί οι συνθήκες δεν είναι τόσο ελεγχόμενες όσο στο ατελιέ. Υπάρχει δυσκολία πρόσβασης, περιορισμένος χώρος, πίεση χρόνου και μεγαλύτερη εξάρτηση από τον συγκολλητή. Οι χειροκίνητες μέθοδοι, όπως η SMAW, είναι χρήσιμες και πολλές φορές απαραίτητες στο πεδίο, όμως έχουν μεγαλύτερη πιθανότητα μεταβλητότητας. Ειδικά στα γεμίσματα, στα tie-ins και στα socket welds, η ανάγκη για σωστή τεχνική και έγκαιρο οπτικό έλεγχο είναι αυξημένη.</w:t>
      </w:r>
    </w:p>
    <w:p w14:paraId="58F4A3A6" w14:textId="77777777" w:rsidR="00E316EF" w:rsidRPr="00783180" w:rsidRDefault="00E316EF" w:rsidP="00325DA6">
      <w:pPr>
        <w:spacing w:after="0" w:line="240" w:lineRule="auto"/>
        <w:rPr>
          <w:rFonts w:ascii="Times New Roman" w:eastAsia="Times New Roman" w:hAnsi="Times New Roman" w:cs="Times New Roman"/>
          <w:kern w:val="0"/>
          <w:sz w:val="20"/>
          <w:szCs w:val="20"/>
          <w:lang w:eastAsia="el-GR"/>
          <w14:ligatures w14:val="none"/>
        </w:rPr>
      </w:pPr>
      <w:r w:rsidRPr="00783180">
        <w:rPr>
          <w:rFonts w:ascii="Times New Roman" w:eastAsia="Times New Roman" w:hAnsi="Times New Roman" w:cs="Times New Roman"/>
          <w:kern w:val="0"/>
          <w:sz w:val="20"/>
          <w:szCs w:val="20"/>
          <w:lang w:eastAsia="el-GR"/>
          <w14:ligatures w14:val="none"/>
        </w:rPr>
        <w:t>Στο ίδιο έργο φάνηκε ότι οι καθυστερημένοι έλεγχοι μπορούν να δημιουργήσουν επαναληπτικούς κύκλους εργασιών. Δηλαδή μια συγκόλληση εκτελείται, ελέγχεται, απορρίπτεται, επισκευάζεται και ελέγχεται ξανά. Αυτός ο κύκλος δεν επιβαρύνει μόνο τη συγκεκριμένη συγκόλληση, αλλά επηρεάζει και τον προγραμματισμό των συνεργείων, των επιθεωρητών και των επόμενων εργασιών. Άρα το πρόβλημα δεν είναι μόνο τεχνικό, αλλά γίνεται και χρονικό και οικονομικό.</w:t>
      </w:r>
    </w:p>
    <w:p w14:paraId="3C36FB42" w14:textId="77777777" w:rsidR="00E316EF" w:rsidRPr="00783180" w:rsidRDefault="00E316EF" w:rsidP="00325DA6">
      <w:pPr>
        <w:spacing w:after="0" w:line="240" w:lineRule="auto"/>
        <w:rPr>
          <w:rFonts w:ascii="Times New Roman" w:eastAsia="Times New Roman" w:hAnsi="Times New Roman" w:cs="Times New Roman"/>
          <w:kern w:val="0"/>
          <w:sz w:val="20"/>
          <w:szCs w:val="20"/>
          <w:lang w:eastAsia="el-GR"/>
          <w14:ligatures w14:val="none"/>
        </w:rPr>
      </w:pPr>
      <w:r w:rsidRPr="00783180">
        <w:rPr>
          <w:rFonts w:ascii="Times New Roman" w:eastAsia="Times New Roman" w:hAnsi="Times New Roman" w:cs="Times New Roman"/>
          <w:kern w:val="0"/>
          <w:sz w:val="20"/>
          <w:szCs w:val="20"/>
          <w:lang w:eastAsia="el-GR"/>
          <w14:ligatures w14:val="none"/>
        </w:rPr>
        <w:t>Στο δεύτερο έργο, τον αγωγό φυσικού αερίου, τα αποτελέσματα δείχνουν ότι η τυποποίηση και η μηχανοποίηση βοηθούν σημαντικά την παραγωγικότητα. Όταν υπάρχει επαναληψιμότητα, σωστός εξοπλισμός και οργανωμένη ροή εργασιών, η συγκόλληση γίνεται πιο σταθερή και πιο προβλέψιμη. Ο χρόνος τόξου είναι υψηλότερος και η πιθανότητα σφαλμάτων μειώνεται. Αυτό όμως δεν ισχύει στον ίδιο βαθμό για όλα τα σημεία του έργου. Τα tie-ins παραμένουν πιο δύσκολα, γιατί εκεί η γεωμετρία δεν είναι πάντα σταθερή και η πρόσβαση μπορεί να είναι περιορισμένη.</w:t>
      </w:r>
    </w:p>
    <w:p w14:paraId="2451F8A8" w14:textId="77777777" w:rsidR="00E316EF" w:rsidRPr="00783180" w:rsidRDefault="00E316EF" w:rsidP="00325DA6">
      <w:pPr>
        <w:spacing w:after="0" w:line="240" w:lineRule="auto"/>
        <w:rPr>
          <w:rFonts w:ascii="Times New Roman" w:eastAsia="Times New Roman" w:hAnsi="Times New Roman" w:cs="Times New Roman"/>
          <w:kern w:val="0"/>
          <w:sz w:val="20"/>
          <w:szCs w:val="20"/>
          <w:lang w:eastAsia="el-GR"/>
          <w14:ligatures w14:val="none"/>
        </w:rPr>
      </w:pPr>
      <w:r w:rsidRPr="00783180">
        <w:rPr>
          <w:rFonts w:ascii="Times New Roman" w:eastAsia="Times New Roman" w:hAnsi="Times New Roman" w:cs="Times New Roman"/>
          <w:kern w:val="0"/>
          <w:sz w:val="20"/>
          <w:szCs w:val="20"/>
          <w:lang w:eastAsia="el-GR"/>
          <w14:ligatures w14:val="none"/>
        </w:rPr>
        <w:t>Στο έργο του αγωγού φαίνεται καθαρά ότι η αυτοματοποίηση δεν λύνει όλα τα προβλήματα. Μειώνει τη μεταβλητότητα στον κύριο όγκο των συγκολλήσεων, αλλά δεν αντικαθιστά την ανάγκη για καλό fit-up, σωστό έλεγχο και έμπειρο προσωπικό στα κρίσιμα σημεία. Για αυτό, η στρατηγική πρέπει να διαφοροποιείται ανάλογα με το είδος της συγκόλλησης. Άλλη λογική χρειάζεται στον κύριο αγωγό και άλλη στα tie-ins.</w:t>
      </w:r>
    </w:p>
    <w:p w14:paraId="77BD0B29" w14:textId="18ACBA20" w:rsidR="00E316EF" w:rsidRPr="00783180" w:rsidRDefault="00E316EF" w:rsidP="00325DA6">
      <w:pPr>
        <w:spacing w:after="0" w:line="240" w:lineRule="auto"/>
        <w:rPr>
          <w:rFonts w:ascii="Times New Roman" w:eastAsia="Times New Roman" w:hAnsi="Times New Roman" w:cs="Times New Roman"/>
          <w:kern w:val="0"/>
          <w:sz w:val="20"/>
          <w:szCs w:val="20"/>
          <w:lang w:eastAsia="el-GR"/>
          <w14:ligatures w14:val="none"/>
        </w:rPr>
      </w:pPr>
      <w:r w:rsidRPr="00783180">
        <w:rPr>
          <w:rFonts w:ascii="Times New Roman" w:eastAsia="Times New Roman" w:hAnsi="Times New Roman" w:cs="Times New Roman"/>
          <w:kern w:val="0"/>
          <w:sz w:val="20"/>
          <w:szCs w:val="20"/>
          <w:lang w:eastAsia="el-GR"/>
          <w14:ligatures w14:val="none"/>
        </w:rPr>
        <w:t xml:space="preserve">Στο τρίτο έργο, τη σιδηροκατασκευή, φάνηκε ότι η προκατασκευή σε ατελιέ μειώνει γενικά το ρίσκο. Σε ελεγχόμενο περιβάλλον υπάρχει καλύτερη πρόσβαση, καλύτερες συνθήκες εργασίας και πιο εύκολη επιθεώρηση. Όμως όταν ένα λάθος περάσει από την προκατασκευή στην ανέγερση, τότε η διόρθωσή του στο πεδίο γίνεται δύσκολη. Οι </w:t>
      </w:r>
      <w:r w:rsidR="00325DA6">
        <w:rPr>
          <w:rFonts w:ascii="Times New Roman" w:eastAsia="Times New Roman" w:hAnsi="Times New Roman" w:cs="Times New Roman"/>
          <w:kern w:val="0"/>
          <w:sz w:val="20"/>
          <w:szCs w:val="20"/>
          <w:lang w:eastAsia="el-GR"/>
          <w14:ligatures w14:val="none"/>
        </w:rPr>
        <w:t>επισκευές στο πεδίο</w:t>
      </w:r>
      <w:r w:rsidRPr="00783180">
        <w:rPr>
          <w:rFonts w:ascii="Times New Roman" w:eastAsia="Times New Roman" w:hAnsi="Times New Roman" w:cs="Times New Roman"/>
          <w:kern w:val="0"/>
          <w:sz w:val="20"/>
          <w:szCs w:val="20"/>
          <w:lang w:eastAsia="el-GR"/>
          <w14:ligatures w14:val="none"/>
        </w:rPr>
        <w:t xml:space="preserve"> έχουν μεγαλύτερο κόστος και επηρεάζουν περισσότερο τον χρόνο</w:t>
      </w:r>
      <w:r w:rsidR="00325DA6">
        <w:rPr>
          <w:rFonts w:ascii="Times New Roman" w:eastAsia="Times New Roman" w:hAnsi="Times New Roman" w:cs="Times New Roman"/>
          <w:kern w:val="0"/>
          <w:sz w:val="20"/>
          <w:szCs w:val="20"/>
          <w:lang w:eastAsia="el-GR"/>
          <w14:ligatures w14:val="none"/>
        </w:rPr>
        <w:t xml:space="preserve"> κατασκευής</w:t>
      </w:r>
      <w:r w:rsidRPr="00783180">
        <w:rPr>
          <w:rFonts w:ascii="Times New Roman" w:eastAsia="Times New Roman" w:hAnsi="Times New Roman" w:cs="Times New Roman"/>
          <w:kern w:val="0"/>
          <w:sz w:val="20"/>
          <w:szCs w:val="20"/>
          <w:lang w:eastAsia="el-GR"/>
          <w14:ligatures w14:val="none"/>
        </w:rPr>
        <w:t>, επειδή συνήθως γίνονται σε δυσκολότερες συνθήκες και όχι σε οργανωμένη γραμμή παραγωγής.</w:t>
      </w:r>
    </w:p>
    <w:p w14:paraId="2A6224B3" w14:textId="77777777" w:rsidR="00E316EF" w:rsidRPr="00783180" w:rsidRDefault="00E316EF" w:rsidP="00325DA6">
      <w:pPr>
        <w:spacing w:after="0" w:line="240" w:lineRule="auto"/>
        <w:rPr>
          <w:rFonts w:ascii="Times New Roman" w:eastAsia="Times New Roman" w:hAnsi="Times New Roman" w:cs="Times New Roman"/>
          <w:kern w:val="0"/>
          <w:sz w:val="20"/>
          <w:szCs w:val="20"/>
          <w:lang w:eastAsia="el-GR"/>
          <w14:ligatures w14:val="none"/>
        </w:rPr>
      </w:pPr>
      <w:r w:rsidRPr="00783180">
        <w:rPr>
          <w:rFonts w:ascii="Times New Roman" w:eastAsia="Times New Roman" w:hAnsi="Times New Roman" w:cs="Times New Roman"/>
          <w:kern w:val="0"/>
          <w:sz w:val="20"/>
          <w:szCs w:val="20"/>
          <w:lang w:eastAsia="el-GR"/>
          <w14:ligatures w14:val="none"/>
        </w:rPr>
        <w:t>Ένα βασικό αποτέλεσμα και από τα τρία έργα είναι ότι ο χρόνος τόξου από μόνος του δεν δείχνει όλη την εικόνα. Ένα συνεργείο μπορεί να φαίνεται παραγωγικό όταν εκτελεί γρήγορα συγκολλήσεις, όμως αν αυτές οι συγκολλήσεις έχουν πολλές απορρίψεις, τότε η πραγματική αποδοτικότητα μειώνεται. Για να αξιολογηθεί σωστά η παραγωγικότητα, πρέπει να εξεταστούν μαζί ο χρόνος εκτέλεσης, οι επισκευές, οι αναμονές ελέγχων και η τελική αποδοχή.</w:t>
      </w:r>
    </w:p>
    <w:p w14:paraId="1226A3CC" w14:textId="77777777" w:rsidR="00E316EF" w:rsidRPr="00783180" w:rsidRDefault="00E316EF" w:rsidP="00325DA6">
      <w:pPr>
        <w:spacing w:after="0" w:line="240" w:lineRule="auto"/>
        <w:rPr>
          <w:rFonts w:ascii="Times New Roman" w:eastAsia="Times New Roman" w:hAnsi="Times New Roman" w:cs="Times New Roman"/>
          <w:kern w:val="0"/>
          <w:sz w:val="20"/>
          <w:szCs w:val="20"/>
          <w:lang w:eastAsia="el-GR"/>
          <w14:ligatures w14:val="none"/>
        </w:rPr>
      </w:pPr>
      <w:r w:rsidRPr="00783180">
        <w:rPr>
          <w:rFonts w:ascii="Times New Roman" w:eastAsia="Times New Roman" w:hAnsi="Times New Roman" w:cs="Times New Roman"/>
          <w:kern w:val="0"/>
          <w:sz w:val="20"/>
          <w:szCs w:val="20"/>
          <w:lang w:eastAsia="el-GR"/>
          <w14:ligatures w14:val="none"/>
        </w:rPr>
        <w:t>Η εργασία δείχνει επίσης ότι οι μη καταστροφικοί έλεγχοι πρέπει να είναι ενταγμένοι στον προγραμματισμό του έργου. Δεν πρέπει να αντιμετωπίζονται σαν διαδικασία που γίνεται απλώς στο τέλος. Ο οπτικός έλεγχος πριν από τα επόμενα στάδια, τα σωστά hold points και ο έγκαιρος προγραμματισμός των RT ή UT μειώνουν την πιθανότητα να ανακαλυφθεί ένα πρόβλημα αργά. Όσο πιο αργά βρεθεί ένα ελάττωμα, τόσο πιο ακριβή και δύσκολη γίνεται η αποκατάστασή του.</w:t>
      </w:r>
    </w:p>
    <w:p w14:paraId="6F66887F" w14:textId="44CC0CB0" w:rsidR="00E316EF" w:rsidRPr="00783180" w:rsidRDefault="00C543C7" w:rsidP="00325DA6">
      <w:pPr>
        <w:spacing w:after="0" w:line="240" w:lineRule="auto"/>
        <w:rPr>
          <w:rFonts w:ascii="Times New Roman" w:eastAsia="Times New Roman" w:hAnsi="Times New Roman" w:cs="Times New Roman"/>
          <w:kern w:val="0"/>
          <w:sz w:val="20"/>
          <w:szCs w:val="20"/>
          <w:lang w:eastAsia="el-GR"/>
          <w14:ligatures w14:val="none"/>
        </w:rPr>
      </w:pPr>
      <w:r>
        <w:rPr>
          <w:rFonts w:ascii="Times New Roman" w:eastAsia="Times New Roman" w:hAnsi="Times New Roman" w:cs="Times New Roman"/>
          <w:kern w:val="0"/>
          <w:sz w:val="20"/>
          <w:szCs w:val="20"/>
          <w:lang w:eastAsia="el-GR"/>
          <w14:ligatures w14:val="none"/>
        </w:rPr>
        <w:lastRenderedPageBreak/>
        <w:t xml:space="preserve">     </w:t>
      </w:r>
      <w:r w:rsidR="00E316EF" w:rsidRPr="00783180">
        <w:rPr>
          <w:rFonts w:ascii="Times New Roman" w:eastAsia="Times New Roman" w:hAnsi="Times New Roman" w:cs="Times New Roman"/>
          <w:kern w:val="0"/>
          <w:sz w:val="20"/>
          <w:szCs w:val="20"/>
          <w:lang w:eastAsia="el-GR"/>
          <w14:ligatures w14:val="none"/>
        </w:rPr>
        <w:t>Σχετικά με το Κόστος Ποιότητας, τα αποτελέσματα δείχνουν ότι το κόστος πρόληψης και ελέγχου είναι μικρότερο από το κόστος αστοχίας. Η σωστή προετοιμασία, η τήρηση των WPS, η πιστοποίηση των συγκολλητών, η σωστή διαχείριση των αναλωσίμων και ο έγκαιρος έλεγχος μπορεί να φαίνονται σαν πρόσθετο κόστος στην αρχή. Στην πραγματικότητα, όμως, μειώνουν τις επισκευές και τις καθυστερήσεις</w:t>
      </w:r>
      <w:r>
        <w:rPr>
          <w:rFonts w:ascii="Times New Roman" w:eastAsia="Times New Roman" w:hAnsi="Times New Roman" w:cs="Times New Roman"/>
          <w:kern w:val="0"/>
          <w:sz w:val="20"/>
          <w:szCs w:val="20"/>
          <w:lang w:eastAsia="el-GR"/>
          <w14:ligatures w14:val="none"/>
        </w:rPr>
        <w:t xml:space="preserve"> και εντέλει </w:t>
      </w:r>
      <w:r w:rsidR="00E316EF" w:rsidRPr="00783180">
        <w:rPr>
          <w:rFonts w:ascii="Times New Roman" w:eastAsia="Times New Roman" w:hAnsi="Times New Roman" w:cs="Times New Roman"/>
          <w:kern w:val="0"/>
          <w:sz w:val="20"/>
          <w:szCs w:val="20"/>
          <w:lang w:eastAsia="el-GR"/>
          <w14:ligatures w14:val="none"/>
        </w:rPr>
        <w:t>μειώνουν το τελικό κόστος του έργου.</w:t>
      </w:r>
    </w:p>
    <w:p w14:paraId="4B8F639A" w14:textId="77777777" w:rsidR="00E316EF" w:rsidRPr="00783180" w:rsidRDefault="00E316EF" w:rsidP="00325DA6">
      <w:pPr>
        <w:spacing w:after="0" w:line="240" w:lineRule="auto"/>
        <w:rPr>
          <w:rFonts w:ascii="Times New Roman" w:eastAsia="Times New Roman" w:hAnsi="Times New Roman" w:cs="Times New Roman"/>
          <w:kern w:val="0"/>
          <w:sz w:val="20"/>
          <w:szCs w:val="20"/>
          <w:lang w:eastAsia="el-GR"/>
          <w14:ligatures w14:val="none"/>
        </w:rPr>
      </w:pPr>
      <w:r w:rsidRPr="00783180">
        <w:rPr>
          <w:rFonts w:ascii="Times New Roman" w:eastAsia="Times New Roman" w:hAnsi="Times New Roman" w:cs="Times New Roman"/>
          <w:kern w:val="0"/>
          <w:sz w:val="20"/>
          <w:szCs w:val="20"/>
          <w:lang w:eastAsia="el-GR"/>
          <w14:ligatures w14:val="none"/>
        </w:rPr>
        <w:t xml:space="preserve">Η συγκριτική αξιολόγηση των στρατηγικών έδειξε ότι η </w:t>
      </w:r>
      <w:r w:rsidRPr="00AE0791">
        <w:rPr>
          <w:rFonts w:ascii="Times New Roman" w:eastAsia="Times New Roman" w:hAnsi="Times New Roman" w:cs="Times New Roman"/>
          <w:kern w:val="0"/>
          <w:sz w:val="20"/>
          <w:szCs w:val="20"/>
          <w:lang w:eastAsia="el-GR"/>
          <w14:ligatures w14:val="none"/>
        </w:rPr>
        <w:t>προσέγγιση right-first-time έχει την καλύτερη συνολική απόδοση. Η στρατηγική αυτή δεν σημαίνει ότι όλα γίνονται πιο αργά</w:t>
      </w:r>
      <w:r w:rsidRPr="00783180">
        <w:rPr>
          <w:rFonts w:ascii="Times New Roman" w:eastAsia="Times New Roman" w:hAnsi="Times New Roman" w:cs="Times New Roman"/>
          <w:kern w:val="0"/>
          <w:sz w:val="20"/>
          <w:szCs w:val="20"/>
          <w:lang w:eastAsia="el-GR"/>
          <w14:ligatures w14:val="none"/>
        </w:rPr>
        <w:t xml:space="preserve"> ή πιο ακριβά. Σημαίνει ότι δίνεται βάρος στη σωστή εκτέλεση από την αρχή, ώστε να μη χρειαστεί το έργο να πληρώσει αργότερα το κόστος των λαθών. Η γρήγορη παραγωγή χωρίς επαρκή έλεγχο μπορεί να δώσει προσωρινά καλή εικόνα, αλλά αυξάνει το ρίσκο σε επόμενα στάδια.</w:t>
      </w:r>
    </w:p>
    <w:p w14:paraId="56ECE156" w14:textId="77777777" w:rsidR="00E316EF" w:rsidRPr="00783180" w:rsidRDefault="00E316EF" w:rsidP="00325DA6">
      <w:pPr>
        <w:spacing w:after="0" w:line="240" w:lineRule="auto"/>
        <w:rPr>
          <w:rFonts w:ascii="Times New Roman" w:eastAsia="Times New Roman" w:hAnsi="Times New Roman" w:cs="Times New Roman"/>
          <w:kern w:val="0"/>
          <w:sz w:val="20"/>
          <w:szCs w:val="20"/>
          <w:lang w:eastAsia="el-GR"/>
          <w14:ligatures w14:val="none"/>
        </w:rPr>
      </w:pPr>
      <w:r w:rsidRPr="00783180">
        <w:rPr>
          <w:rFonts w:ascii="Times New Roman" w:eastAsia="Times New Roman" w:hAnsi="Times New Roman" w:cs="Times New Roman"/>
          <w:kern w:val="0"/>
          <w:sz w:val="20"/>
          <w:szCs w:val="20"/>
          <w:lang w:eastAsia="el-GR"/>
          <w14:ligatures w14:val="none"/>
        </w:rPr>
        <w:t>Η μέγιστη προκατασκευή επίσης εμφανίζεται ως σημαντική στρατηγική, κυρίως όταν υπάρχει δυνατότητα εργασίας σε ελεγχόμενο περιβάλλον. Όμως δεν μπορεί να εφαρμοστεί παντού. Υπάρχουν πάντα συγκολλήσεις πεδίου, tie-ins ή σημεία με δύσκολη πρόσβαση. Για αυτό, η καλύτερη προσέγγιση δεν είναι μία γενική λύση για όλα, αλλά ένας συνδυασμός: όσο το δυνατόν περισσότερη προκατασκευή, σωστή επιλογή μεθόδου και αυστηρή λογική right-first-time στα κρίσιμα σημεία.</w:t>
      </w:r>
    </w:p>
    <w:p w14:paraId="588D8AA4" w14:textId="6BDDC53B" w:rsidR="00E316EF" w:rsidRPr="00AD5724" w:rsidRDefault="00E316EF" w:rsidP="00F023D2">
      <w:pPr>
        <w:pStyle w:val="ListParagraph"/>
        <w:numPr>
          <w:ilvl w:val="0"/>
          <w:numId w:val="1"/>
        </w:numPr>
        <w:spacing w:before="100" w:beforeAutospacing="1" w:after="100" w:afterAutospacing="1" w:line="240" w:lineRule="auto"/>
        <w:ind w:left="357" w:hanging="357"/>
        <w:outlineLvl w:val="1"/>
        <w:rPr>
          <w:rFonts w:ascii="Times New Roman" w:eastAsia="Times New Roman" w:hAnsi="Times New Roman" w:cs="Times New Roman"/>
          <w:b/>
          <w:bCs/>
          <w:kern w:val="0"/>
          <w:sz w:val="20"/>
          <w:szCs w:val="20"/>
          <w:lang w:eastAsia="el-GR"/>
          <w14:ligatures w14:val="none"/>
        </w:rPr>
      </w:pPr>
      <w:r w:rsidRPr="00AD5724">
        <w:rPr>
          <w:rFonts w:ascii="Times New Roman" w:eastAsia="Times New Roman" w:hAnsi="Times New Roman" w:cs="Times New Roman"/>
          <w:b/>
          <w:bCs/>
          <w:kern w:val="0"/>
          <w:sz w:val="20"/>
          <w:szCs w:val="20"/>
          <w:lang w:eastAsia="el-GR"/>
          <w14:ligatures w14:val="none"/>
        </w:rPr>
        <w:t>Σ</w:t>
      </w:r>
      <w:r w:rsidR="00F023D2">
        <w:rPr>
          <w:rFonts w:ascii="Times New Roman" w:eastAsia="Times New Roman" w:hAnsi="Times New Roman" w:cs="Times New Roman"/>
          <w:b/>
          <w:bCs/>
          <w:kern w:val="0"/>
          <w:sz w:val="20"/>
          <w:szCs w:val="20"/>
          <w:lang w:eastAsia="el-GR"/>
          <w14:ligatures w14:val="none"/>
        </w:rPr>
        <w:t>ΥΜΠΕΡΑΣΜΑΤΑ</w:t>
      </w:r>
    </w:p>
    <w:p w14:paraId="490C8CB8" w14:textId="77777777" w:rsidR="00E316EF" w:rsidRPr="00783180" w:rsidRDefault="00E316EF" w:rsidP="00AE0791">
      <w:pPr>
        <w:spacing w:after="0" w:line="240" w:lineRule="auto"/>
        <w:rPr>
          <w:rFonts w:ascii="Times New Roman" w:eastAsia="Times New Roman" w:hAnsi="Times New Roman" w:cs="Times New Roman"/>
          <w:kern w:val="0"/>
          <w:sz w:val="20"/>
          <w:szCs w:val="20"/>
          <w:lang w:eastAsia="el-GR"/>
          <w14:ligatures w14:val="none"/>
        </w:rPr>
      </w:pPr>
      <w:r w:rsidRPr="00783180">
        <w:rPr>
          <w:rFonts w:ascii="Times New Roman" w:eastAsia="Times New Roman" w:hAnsi="Times New Roman" w:cs="Times New Roman"/>
          <w:kern w:val="0"/>
          <w:sz w:val="20"/>
          <w:szCs w:val="20"/>
          <w:lang w:eastAsia="el-GR"/>
          <w14:ligatures w14:val="none"/>
        </w:rPr>
        <w:t>Η εργασία καταλήγει στο συμπέρασμα ότι η συγκόλληση πρέπει να αντιμετωπίζεται ως ολοκληρωμένη διεργασία έργου. Δεν είναι μόνο θέμα συγκολλητή ή μεθόδου. Είναι θέμα προετοιμασίας, διαδικασίας, ελέγχου, τεκμηρίωσης και οργάνωσης. Αν όλα αυτά δεν λειτουργούν μαζί, τότε ακόμα και μια τεχνικά σωστή μέθοδος μπορεί να δώσει κακό αποτέλεσμα στο έργο.</w:t>
      </w:r>
    </w:p>
    <w:p w14:paraId="017F5234" w14:textId="77777777" w:rsidR="00E316EF" w:rsidRPr="00783180" w:rsidRDefault="00E316EF" w:rsidP="00AE0791">
      <w:pPr>
        <w:spacing w:after="0" w:line="240" w:lineRule="auto"/>
        <w:rPr>
          <w:rFonts w:ascii="Times New Roman" w:eastAsia="Times New Roman" w:hAnsi="Times New Roman" w:cs="Times New Roman"/>
          <w:kern w:val="0"/>
          <w:sz w:val="20"/>
          <w:szCs w:val="20"/>
          <w:lang w:eastAsia="el-GR"/>
          <w14:ligatures w14:val="none"/>
        </w:rPr>
      </w:pPr>
      <w:r w:rsidRPr="00783180">
        <w:rPr>
          <w:rFonts w:ascii="Times New Roman" w:eastAsia="Times New Roman" w:hAnsi="Times New Roman" w:cs="Times New Roman"/>
          <w:kern w:val="0"/>
          <w:sz w:val="20"/>
          <w:szCs w:val="20"/>
          <w:lang w:eastAsia="el-GR"/>
          <w14:ligatures w14:val="none"/>
        </w:rPr>
        <w:t>Η παραγωγικότητα στις συγκολλήσεις δεν πρέπει να εξετάζεται μόνο με βάση την ταχύτητα. Η πραγματική παραγωγικότητα φαίνεται όταν η συγκόλληση γίνεται αποδεκτή χωρίς επισκευές και χωρίς να δημιουργεί καθυστερήσεις. Αν χρειαστούν repairs, επαναληπτικά NDT και πρόσθετες εργασίες, τότε ο αρχικός χρόνος εκτέλεσης χάνει την αξία του. Για αυτό η παραγωγικότητα πρέπει να συνδέεται πάντα με την ποιότητα.</w:t>
      </w:r>
    </w:p>
    <w:p w14:paraId="0C8142D3" w14:textId="77777777" w:rsidR="00E316EF" w:rsidRPr="00783180" w:rsidRDefault="00E316EF" w:rsidP="00AE0791">
      <w:pPr>
        <w:spacing w:after="0" w:line="240" w:lineRule="auto"/>
        <w:rPr>
          <w:rFonts w:ascii="Times New Roman" w:eastAsia="Times New Roman" w:hAnsi="Times New Roman" w:cs="Times New Roman"/>
          <w:kern w:val="0"/>
          <w:sz w:val="20"/>
          <w:szCs w:val="20"/>
          <w:lang w:eastAsia="el-GR"/>
          <w14:ligatures w14:val="none"/>
        </w:rPr>
      </w:pPr>
      <w:r w:rsidRPr="00783180">
        <w:rPr>
          <w:rFonts w:ascii="Times New Roman" w:eastAsia="Times New Roman" w:hAnsi="Times New Roman" w:cs="Times New Roman"/>
          <w:kern w:val="0"/>
          <w:sz w:val="20"/>
          <w:szCs w:val="20"/>
          <w:lang w:eastAsia="el-GR"/>
          <w14:ligatures w14:val="none"/>
        </w:rPr>
        <w:t xml:space="preserve">Η ποιότητα δεν είναι αντίθετη με την παραγωγικότητα. Αντίθετα, όταν η ποιότητα οργανώνεται σωστά από την αρχή, βοηθά την παραγωγικότητα. Ο έγκαιρος οπτικός έλεγχος, </w:t>
      </w:r>
      <w:r w:rsidRPr="00783180">
        <w:rPr>
          <w:rFonts w:ascii="Times New Roman" w:eastAsia="Times New Roman" w:hAnsi="Times New Roman" w:cs="Times New Roman"/>
          <w:kern w:val="0"/>
          <w:sz w:val="20"/>
          <w:szCs w:val="20"/>
          <w:lang w:eastAsia="el-GR"/>
          <w14:ligatures w14:val="none"/>
        </w:rPr>
        <w:t>η τήρηση των WPS, το σωστό fit-up και η επιτήρηση των κρίσιμων εργασιών μειώνουν τις απορρίψεις. Έτσι το έργο προχωρά πιο σταθερά και με λιγότερες διακοπές.</w:t>
      </w:r>
    </w:p>
    <w:p w14:paraId="55ED5964" w14:textId="258CFCE7" w:rsidR="00E316EF" w:rsidRPr="00783180" w:rsidRDefault="00E316EF" w:rsidP="00AE0791">
      <w:pPr>
        <w:spacing w:after="0" w:line="240" w:lineRule="auto"/>
        <w:rPr>
          <w:rFonts w:ascii="Times New Roman" w:eastAsia="Times New Roman" w:hAnsi="Times New Roman" w:cs="Times New Roman"/>
          <w:kern w:val="0"/>
          <w:sz w:val="20"/>
          <w:szCs w:val="20"/>
          <w:lang w:eastAsia="el-GR"/>
          <w14:ligatures w14:val="none"/>
        </w:rPr>
      </w:pPr>
      <w:r w:rsidRPr="00783180">
        <w:rPr>
          <w:rFonts w:ascii="Times New Roman" w:eastAsia="Times New Roman" w:hAnsi="Times New Roman" w:cs="Times New Roman"/>
          <w:kern w:val="0"/>
          <w:sz w:val="20"/>
          <w:szCs w:val="20"/>
          <w:lang w:eastAsia="el-GR"/>
          <w14:ligatures w14:val="none"/>
        </w:rPr>
        <w:t xml:space="preserve">Το Κόστος Ποιότητας είναι βασικό εργαλείο για να γίνει κατανοητό το πραγματικό κόστος των συγκολλήσεων. Το κόστος αστοχίας είναι αυτό που συνήθως επιβαρύνει περισσότερο το έργο, γιατί περιλαμβάνει επισκευές, καθυστερήσεις, επαναληπτικούς ελέγχους και </w:t>
      </w:r>
      <w:r w:rsidR="00AE0791">
        <w:rPr>
          <w:rFonts w:ascii="Times New Roman" w:eastAsia="Times New Roman" w:hAnsi="Times New Roman" w:cs="Times New Roman"/>
          <w:kern w:val="0"/>
          <w:sz w:val="20"/>
          <w:szCs w:val="20"/>
          <w:lang w:eastAsia="el-GR"/>
          <w14:ligatures w14:val="none"/>
        </w:rPr>
        <w:t xml:space="preserve">επίσης </w:t>
      </w:r>
      <w:r w:rsidRPr="00783180">
        <w:rPr>
          <w:rFonts w:ascii="Times New Roman" w:eastAsia="Times New Roman" w:hAnsi="Times New Roman" w:cs="Times New Roman"/>
          <w:kern w:val="0"/>
          <w:sz w:val="20"/>
          <w:szCs w:val="20"/>
          <w:lang w:eastAsia="el-GR"/>
          <w14:ligatures w14:val="none"/>
        </w:rPr>
        <w:t>απώλεια παραγωγικότητας. Η μεταφορά μέρους του κόστους προς την πρόληψη και τον έλεγχο μειώνει το συνολικό κόστος.</w:t>
      </w:r>
    </w:p>
    <w:p w14:paraId="0D8B3446" w14:textId="4B847AD3" w:rsidR="00E316EF" w:rsidRPr="00783180" w:rsidRDefault="00AE0791" w:rsidP="00AE0791">
      <w:pPr>
        <w:spacing w:after="0" w:line="240" w:lineRule="auto"/>
        <w:rPr>
          <w:rFonts w:ascii="Times New Roman" w:eastAsia="Times New Roman" w:hAnsi="Times New Roman" w:cs="Times New Roman"/>
          <w:kern w:val="0"/>
          <w:sz w:val="20"/>
          <w:szCs w:val="20"/>
          <w:lang w:eastAsia="el-GR"/>
          <w14:ligatures w14:val="none"/>
        </w:rPr>
      </w:pPr>
      <w:r>
        <w:rPr>
          <w:rFonts w:ascii="Times New Roman" w:eastAsia="Times New Roman" w:hAnsi="Times New Roman" w:cs="Times New Roman"/>
          <w:kern w:val="0"/>
          <w:sz w:val="20"/>
          <w:szCs w:val="20"/>
          <w:lang w:eastAsia="el-GR"/>
          <w14:ligatures w14:val="none"/>
        </w:rPr>
        <w:t xml:space="preserve">     </w:t>
      </w:r>
      <w:r w:rsidR="00E316EF" w:rsidRPr="00783180">
        <w:rPr>
          <w:rFonts w:ascii="Times New Roman" w:eastAsia="Times New Roman" w:hAnsi="Times New Roman" w:cs="Times New Roman"/>
          <w:kern w:val="0"/>
          <w:sz w:val="20"/>
          <w:szCs w:val="20"/>
          <w:lang w:eastAsia="el-GR"/>
          <w14:ligatures w14:val="none"/>
        </w:rPr>
        <w:t>Η ανάλυση των τριών έργων έδειξε ότι κάθε έργο έχει διαφορετικό προφίλ ρίσκου. Στο βιομηχανικό έργο σωληνώσεων το ρίσκο αυξάνεται στις συγκολλήσεις πεδίου, στα γεμίσματα, στα socket welds και στα tie-ins.</w:t>
      </w:r>
      <w:r w:rsidR="005E1422">
        <w:rPr>
          <w:rFonts w:ascii="Times New Roman" w:eastAsia="Times New Roman" w:hAnsi="Times New Roman" w:cs="Times New Roman"/>
          <w:kern w:val="0"/>
          <w:sz w:val="20"/>
          <w:szCs w:val="20"/>
          <w:lang w:eastAsia="el-GR"/>
          <w14:ligatures w14:val="none"/>
        </w:rPr>
        <w:t xml:space="preserve"> </w:t>
      </w:r>
      <w:r w:rsidR="00E316EF" w:rsidRPr="00783180">
        <w:rPr>
          <w:rFonts w:ascii="Times New Roman" w:eastAsia="Times New Roman" w:hAnsi="Times New Roman" w:cs="Times New Roman"/>
          <w:kern w:val="0"/>
          <w:sz w:val="20"/>
          <w:szCs w:val="20"/>
          <w:lang w:eastAsia="el-GR"/>
          <w14:ligatures w14:val="none"/>
        </w:rPr>
        <w:t>Στο έργο αγωγού το κύριο μέρος των συγκολλήσεων είναι πιο ελεγχόμενο λόγω τυποποίησης, αλλά τα tie-ins παραμένουν κρίσιμα. Στη σιδηροκατασκευή το βασικό πρόβλημα είναι να μη μεταφερθούν σφάλματα από το ατελιέ στο εργοτάξιο, γιατί οι διορθώσεις στο πεδίο είναι πιο δύσκολες και πιο ακριβές.</w:t>
      </w:r>
    </w:p>
    <w:p w14:paraId="3061229E" w14:textId="77777777" w:rsidR="00E316EF" w:rsidRPr="00783180" w:rsidRDefault="00E316EF" w:rsidP="00AE0791">
      <w:pPr>
        <w:spacing w:after="0" w:line="240" w:lineRule="auto"/>
        <w:rPr>
          <w:rFonts w:ascii="Times New Roman" w:eastAsia="Times New Roman" w:hAnsi="Times New Roman" w:cs="Times New Roman"/>
          <w:kern w:val="0"/>
          <w:sz w:val="20"/>
          <w:szCs w:val="20"/>
          <w:lang w:eastAsia="el-GR"/>
          <w14:ligatures w14:val="none"/>
        </w:rPr>
      </w:pPr>
      <w:r w:rsidRPr="00783180">
        <w:rPr>
          <w:rFonts w:ascii="Times New Roman" w:eastAsia="Times New Roman" w:hAnsi="Times New Roman" w:cs="Times New Roman"/>
          <w:kern w:val="0"/>
          <w:sz w:val="20"/>
          <w:szCs w:val="20"/>
          <w:lang w:eastAsia="el-GR"/>
          <w14:ligatures w14:val="none"/>
        </w:rPr>
        <w:t xml:space="preserve">Η προτεινόμενη στρατηγική είναι η εφαρμογή της λογικής </w:t>
      </w:r>
      <w:r w:rsidRPr="00AE0791">
        <w:rPr>
          <w:rFonts w:ascii="Times New Roman" w:eastAsia="Times New Roman" w:hAnsi="Times New Roman" w:cs="Times New Roman"/>
          <w:kern w:val="0"/>
          <w:sz w:val="20"/>
          <w:szCs w:val="20"/>
          <w:lang w:eastAsia="el-GR"/>
          <w14:ligatures w14:val="none"/>
        </w:rPr>
        <w:t>right-first-time,</w:t>
      </w:r>
      <w:r w:rsidRPr="00783180">
        <w:rPr>
          <w:rFonts w:ascii="Times New Roman" w:eastAsia="Times New Roman" w:hAnsi="Times New Roman" w:cs="Times New Roman"/>
          <w:kern w:val="0"/>
          <w:sz w:val="20"/>
          <w:szCs w:val="20"/>
          <w:lang w:eastAsia="el-GR"/>
          <w14:ligatures w14:val="none"/>
        </w:rPr>
        <w:t xml:space="preserve"> σε συνδυασμό με όσο το δυνατόν μεγαλύτερη προκατασκευή όπου αυτό είναι εφικτό. Η στρατηγική αυτή σημαίνει σωστή επιλογή μεθόδου, σωστή προετοιμασία, τήρηση διαδικασιών, έγκαιρο έλεγχο, σωστό προγραμματισμό NDT και άμεση διαχείριση των repairs. Με αυτόν τον τρόπο μειώνονται το CoQ, το χρονικό ρίσκο και το τεχνικό ρίσκο.</w:t>
      </w:r>
    </w:p>
    <w:p w14:paraId="1979E24A" w14:textId="77777777" w:rsidR="00E316EF" w:rsidRPr="00783180" w:rsidRDefault="00E316EF" w:rsidP="00AE0791">
      <w:pPr>
        <w:spacing w:after="0" w:line="240" w:lineRule="auto"/>
        <w:rPr>
          <w:rFonts w:ascii="Times New Roman" w:eastAsia="Times New Roman" w:hAnsi="Times New Roman" w:cs="Times New Roman"/>
          <w:kern w:val="0"/>
          <w:sz w:val="20"/>
          <w:szCs w:val="20"/>
          <w:lang w:eastAsia="el-GR"/>
          <w14:ligatures w14:val="none"/>
        </w:rPr>
      </w:pPr>
      <w:r w:rsidRPr="00783180">
        <w:rPr>
          <w:rFonts w:ascii="Times New Roman" w:eastAsia="Times New Roman" w:hAnsi="Times New Roman" w:cs="Times New Roman"/>
          <w:kern w:val="0"/>
          <w:sz w:val="20"/>
          <w:szCs w:val="20"/>
          <w:lang w:eastAsia="el-GR"/>
          <w14:ligatures w14:val="none"/>
        </w:rPr>
        <w:t>Ένα από τα βασικά συμπεράσματα της εργασίας είναι ότι ο μηχανικός πρέπει να βλέπει τη συγκόλληση συνολικά. Δεν αρκεί να επιλέξει μια μέθοδο επειδή φαίνεται πιο φθηνή ή πιο γρήγορη. Πρέπει να εξετάσει πού θα γίνει η συγκόλληση, ποιος θα την εκτελέσει, τι έλεγχοι απαιτούνται, πόσο εύκολη είναι η επισκευή αν προκύψει πρόβλημα και πώς όλα αυτά επηρεάζουν το πρόγραμμα.</w:t>
      </w:r>
    </w:p>
    <w:p w14:paraId="73EAF105" w14:textId="77777777" w:rsidR="00E316EF" w:rsidRPr="00783180" w:rsidRDefault="00E316EF" w:rsidP="00AE0791">
      <w:pPr>
        <w:spacing w:after="0" w:line="240" w:lineRule="auto"/>
        <w:rPr>
          <w:rFonts w:ascii="Times New Roman" w:eastAsia="Times New Roman" w:hAnsi="Times New Roman" w:cs="Times New Roman"/>
          <w:kern w:val="0"/>
          <w:sz w:val="20"/>
          <w:szCs w:val="20"/>
          <w:lang w:eastAsia="el-GR"/>
          <w14:ligatures w14:val="none"/>
        </w:rPr>
      </w:pPr>
      <w:r w:rsidRPr="00783180">
        <w:rPr>
          <w:rFonts w:ascii="Times New Roman" w:eastAsia="Times New Roman" w:hAnsi="Times New Roman" w:cs="Times New Roman"/>
          <w:kern w:val="0"/>
          <w:sz w:val="20"/>
          <w:szCs w:val="20"/>
          <w:lang w:eastAsia="el-GR"/>
          <w14:ligatures w14:val="none"/>
        </w:rPr>
        <w:t>Τελικά, η συγκόλληση μπορεί είτε να βοηθήσει το έργο να προχωρήσει σταθερά είτε να γίνει πηγή καθυστερήσεων και κόστους. Η διαφορά βρίσκεται στην οργάνωση. Όταν η συγκόλληση αντιμετωπίζεται ως ελεγχόμενη διεργασία έργου, τότε μειώνονται τα προβλήματα και αυξάνεται η αξιοπιστία. Όταν αντιμετωπίζεται αποσπασματικά, τότε τα προβλήματα εμφανίζονται αργότερα, όταν η αποκατάστασή τους είναι δυσκολότερη.</w:t>
      </w:r>
    </w:p>
    <w:p w14:paraId="172D393E" w14:textId="77777777" w:rsidR="00E316EF" w:rsidRPr="00783180" w:rsidRDefault="00E316EF" w:rsidP="00AE0791">
      <w:pPr>
        <w:spacing w:after="0" w:line="240" w:lineRule="auto"/>
        <w:rPr>
          <w:rFonts w:ascii="Times New Roman" w:eastAsia="Times New Roman" w:hAnsi="Times New Roman" w:cs="Times New Roman"/>
          <w:kern w:val="0"/>
          <w:sz w:val="20"/>
          <w:szCs w:val="20"/>
          <w:lang w:eastAsia="el-GR"/>
          <w14:ligatures w14:val="none"/>
        </w:rPr>
      </w:pPr>
      <w:r w:rsidRPr="00783180">
        <w:rPr>
          <w:rFonts w:ascii="Times New Roman" w:eastAsia="Times New Roman" w:hAnsi="Times New Roman" w:cs="Times New Roman"/>
          <w:kern w:val="0"/>
          <w:sz w:val="20"/>
          <w:szCs w:val="20"/>
          <w:lang w:eastAsia="el-GR"/>
          <w14:ligatures w14:val="none"/>
        </w:rPr>
        <w:t xml:space="preserve">Η εργασία δείχνει ότι η σύνδεση παραγωγικότητας, ποιότητας, Κόστους Ποιότητας και ρίσκου μπορεί να βοηθήσει στη λήψη καλύτερων αποφάσεων σε τεχνικά έργα. </w:t>
      </w:r>
      <w:r w:rsidRPr="00783180">
        <w:rPr>
          <w:rFonts w:ascii="Times New Roman" w:eastAsia="Times New Roman" w:hAnsi="Times New Roman" w:cs="Times New Roman"/>
          <w:kern w:val="0"/>
          <w:sz w:val="20"/>
          <w:szCs w:val="20"/>
          <w:lang w:eastAsia="el-GR"/>
          <w14:ligatures w14:val="none"/>
        </w:rPr>
        <w:lastRenderedPageBreak/>
        <w:t>Η συγκόλληση δεν είναι μόνο θέμα τεχνικής εκτέλεσης, αλλά θέμα διαχείρισης έργου. Για αυτό πρέπει να σχεδιάζεται, να ελέγχεται και να παρακολουθείται με τον ίδιο τρόπο που παρακολουθούνται οι κρίσιμες δραστηριότητες ενός έργου.</w:t>
      </w:r>
    </w:p>
    <w:p w14:paraId="3CF9ACB5" w14:textId="494C616A" w:rsidR="00E316EF" w:rsidRPr="00AD5724" w:rsidRDefault="00E316EF" w:rsidP="002A0691">
      <w:pPr>
        <w:spacing w:before="100" w:beforeAutospacing="1" w:after="100" w:afterAutospacing="1" w:line="240" w:lineRule="auto"/>
        <w:jc w:val="center"/>
        <w:outlineLvl w:val="1"/>
        <w:rPr>
          <w:rFonts w:ascii="Times New Roman" w:eastAsia="Times New Roman" w:hAnsi="Times New Roman" w:cs="Times New Roman"/>
          <w:b/>
          <w:bCs/>
          <w:kern w:val="0"/>
          <w:sz w:val="20"/>
          <w:szCs w:val="20"/>
          <w:lang w:val="en-US" w:eastAsia="el-GR"/>
          <w14:ligatures w14:val="none"/>
        </w:rPr>
      </w:pPr>
      <w:r w:rsidRPr="00AD5724">
        <w:rPr>
          <w:rFonts w:ascii="Times New Roman" w:eastAsia="Times New Roman" w:hAnsi="Times New Roman" w:cs="Times New Roman"/>
          <w:b/>
          <w:bCs/>
          <w:kern w:val="0"/>
          <w:sz w:val="20"/>
          <w:szCs w:val="20"/>
          <w:lang w:eastAsia="el-GR"/>
          <w14:ligatures w14:val="none"/>
        </w:rPr>
        <w:t>Α</w:t>
      </w:r>
      <w:r w:rsidR="00A43F42">
        <w:rPr>
          <w:rFonts w:ascii="Times New Roman" w:eastAsia="Times New Roman" w:hAnsi="Times New Roman" w:cs="Times New Roman"/>
          <w:b/>
          <w:bCs/>
          <w:kern w:val="0"/>
          <w:sz w:val="20"/>
          <w:szCs w:val="20"/>
          <w:lang w:eastAsia="el-GR"/>
          <w14:ligatures w14:val="none"/>
        </w:rPr>
        <w:t>ΝΑΦΟΡΕΣ</w:t>
      </w:r>
    </w:p>
    <w:p w14:paraId="51636389" w14:textId="77777777" w:rsidR="00E316EF" w:rsidRPr="00D032E0" w:rsidRDefault="00E316EF" w:rsidP="00660DE6">
      <w:pPr>
        <w:spacing w:before="100" w:beforeAutospacing="1" w:after="100" w:afterAutospacing="1" w:line="240" w:lineRule="auto"/>
        <w:rPr>
          <w:rFonts w:ascii="Times New Roman" w:eastAsia="Times New Roman" w:hAnsi="Times New Roman" w:cs="Times New Roman"/>
          <w:i/>
          <w:iCs/>
          <w:kern w:val="0"/>
          <w:sz w:val="18"/>
          <w:szCs w:val="18"/>
          <w:lang w:val="en-US" w:eastAsia="el-GR"/>
          <w14:ligatures w14:val="none"/>
        </w:rPr>
      </w:pPr>
      <w:r w:rsidRPr="00D032E0">
        <w:rPr>
          <w:rFonts w:ascii="Times New Roman" w:eastAsia="Times New Roman" w:hAnsi="Times New Roman" w:cs="Times New Roman"/>
          <w:i/>
          <w:iCs/>
          <w:kern w:val="0"/>
          <w:sz w:val="18"/>
          <w:szCs w:val="18"/>
          <w:lang w:val="en-US" w:eastAsia="el-GR"/>
          <w14:ligatures w14:val="none"/>
        </w:rPr>
        <w:t xml:space="preserve">Akowua, K., Aucott, L., Waillis, D., Raphael, H., Remi, C., Emmanuel, B., &amp; Lamb, C. (2023). Review and down-selection of NDE technologies suitable for ITER cooling water system remote weld inspections. Fusion Engineering and Design, 196, 113980. </w:t>
      </w:r>
      <w:hyperlink r:id="rId8" w:tgtFrame="_new" w:history="1">
        <w:r w:rsidRPr="00D032E0">
          <w:rPr>
            <w:rFonts w:ascii="Times New Roman" w:eastAsia="Times New Roman" w:hAnsi="Times New Roman" w:cs="Times New Roman"/>
            <w:i/>
            <w:iCs/>
            <w:color w:val="0000FF"/>
            <w:kern w:val="0"/>
            <w:sz w:val="18"/>
            <w:szCs w:val="18"/>
            <w:u w:val="single"/>
            <w:lang w:val="en-US" w:eastAsia="el-GR"/>
            <w14:ligatures w14:val="none"/>
          </w:rPr>
          <w:t>https://doi.org/10.1016/j.fusengdes.2023.113980</w:t>
        </w:r>
      </w:hyperlink>
    </w:p>
    <w:p w14:paraId="6CEE590E" w14:textId="77777777" w:rsidR="00E316EF" w:rsidRPr="00D032E0" w:rsidRDefault="00E316EF" w:rsidP="00660DE6">
      <w:pPr>
        <w:spacing w:before="100" w:beforeAutospacing="1" w:after="100" w:afterAutospacing="1" w:line="240" w:lineRule="auto"/>
        <w:rPr>
          <w:rFonts w:ascii="Times New Roman" w:eastAsia="Times New Roman" w:hAnsi="Times New Roman" w:cs="Times New Roman"/>
          <w:i/>
          <w:iCs/>
          <w:kern w:val="0"/>
          <w:sz w:val="18"/>
          <w:szCs w:val="18"/>
          <w:lang w:val="en-US" w:eastAsia="el-GR"/>
          <w14:ligatures w14:val="none"/>
        </w:rPr>
      </w:pPr>
      <w:r w:rsidRPr="00D032E0">
        <w:rPr>
          <w:rFonts w:ascii="Times New Roman" w:eastAsia="Times New Roman" w:hAnsi="Times New Roman" w:cs="Times New Roman"/>
          <w:i/>
          <w:iCs/>
          <w:kern w:val="0"/>
          <w:sz w:val="18"/>
          <w:szCs w:val="18"/>
          <w:lang w:val="en-US" w:eastAsia="el-GR"/>
          <w14:ligatures w14:val="none"/>
        </w:rPr>
        <w:t>Campanella, J. (Ed.). (1999). Principles of quality costs: Principles, implementation, and use (3rd ed.). ASQ Quality Press.</w:t>
      </w:r>
    </w:p>
    <w:p w14:paraId="0EDB6992" w14:textId="77777777" w:rsidR="00E316EF" w:rsidRPr="00D032E0" w:rsidRDefault="00E316EF" w:rsidP="00660DE6">
      <w:pPr>
        <w:spacing w:before="100" w:beforeAutospacing="1" w:after="100" w:afterAutospacing="1" w:line="240" w:lineRule="auto"/>
        <w:rPr>
          <w:rFonts w:ascii="Times New Roman" w:eastAsia="Times New Roman" w:hAnsi="Times New Roman" w:cs="Times New Roman"/>
          <w:i/>
          <w:iCs/>
          <w:kern w:val="0"/>
          <w:sz w:val="18"/>
          <w:szCs w:val="18"/>
          <w:lang w:val="en-US" w:eastAsia="el-GR"/>
          <w14:ligatures w14:val="none"/>
        </w:rPr>
      </w:pPr>
      <w:r w:rsidRPr="00D032E0">
        <w:rPr>
          <w:rFonts w:ascii="Times New Roman" w:eastAsia="Times New Roman" w:hAnsi="Times New Roman" w:cs="Times New Roman"/>
          <w:i/>
          <w:iCs/>
          <w:kern w:val="0"/>
          <w:sz w:val="18"/>
          <w:szCs w:val="18"/>
          <w:lang w:val="en-US" w:eastAsia="el-GR"/>
          <w14:ligatures w14:val="none"/>
        </w:rPr>
        <w:t>Cary, H. B., &amp; Helzer, S. C. (2005). Modern welding technology (6th ed.). Pearson/Prentice Hall.</w:t>
      </w:r>
    </w:p>
    <w:p w14:paraId="126DC6B5" w14:textId="77777777" w:rsidR="00E316EF" w:rsidRPr="00D032E0" w:rsidRDefault="00E316EF" w:rsidP="00660DE6">
      <w:pPr>
        <w:spacing w:before="100" w:beforeAutospacing="1" w:after="100" w:afterAutospacing="1" w:line="240" w:lineRule="auto"/>
        <w:rPr>
          <w:rFonts w:ascii="Times New Roman" w:eastAsia="Times New Roman" w:hAnsi="Times New Roman" w:cs="Times New Roman"/>
          <w:i/>
          <w:iCs/>
          <w:kern w:val="0"/>
          <w:sz w:val="18"/>
          <w:szCs w:val="18"/>
          <w:lang w:val="en-US" w:eastAsia="el-GR"/>
          <w14:ligatures w14:val="none"/>
        </w:rPr>
      </w:pPr>
      <w:r w:rsidRPr="00D032E0">
        <w:rPr>
          <w:rFonts w:ascii="Times New Roman" w:eastAsia="Times New Roman" w:hAnsi="Times New Roman" w:cs="Times New Roman"/>
          <w:i/>
          <w:iCs/>
          <w:kern w:val="0"/>
          <w:sz w:val="18"/>
          <w:szCs w:val="18"/>
          <w:lang w:val="en-US" w:eastAsia="el-GR"/>
          <w14:ligatures w14:val="none"/>
        </w:rPr>
        <w:t>Crosby, P. B. (1979). Quality is free: The art of making quality certain. McGraw-Hill.</w:t>
      </w:r>
    </w:p>
    <w:p w14:paraId="186CB7DE" w14:textId="77777777" w:rsidR="00E316EF" w:rsidRPr="00D032E0" w:rsidRDefault="00E316EF" w:rsidP="00660DE6">
      <w:pPr>
        <w:spacing w:before="100" w:beforeAutospacing="1" w:after="100" w:afterAutospacing="1" w:line="240" w:lineRule="auto"/>
        <w:rPr>
          <w:rFonts w:ascii="Times New Roman" w:eastAsia="Times New Roman" w:hAnsi="Times New Roman" w:cs="Times New Roman"/>
          <w:i/>
          <w:iCs/>
          <w:kern w:val="0"/>
          <w:sz w:val="18"/>
          <w:szCs w:val="18"/>
          <w:lang w:val="en-US" w:eastAsia="el-GR"/>
          <w14:ligatures w14:val="none"/>
        </w:rPr>
      </w:pPr>
      <w:r w:rsidRPr="00D032E0">
        <w:rPr>
          <w:rFonts w:ascii="Times New Roman" w:eastAsia="Times New Roman" w:hAnsi="Times New Roman" w:cs="Times New Roman"/>
          <w:i/>
          <w:iCs/>
          <w:kern w:val="0"/>
          <w:sz w:val="18"/>
          <w:szCs w:val="18"/>
          <w:lang w:val="en-US" w:eastAsia="el-GR"/>
          <w14:ligatures w14:val="none"/>
        </w:rPr>
        <w:t>El-Shennawy, M., Abdel-Aleem, H. A., Ghanem, M. M., &amp; Sehsah, A. M. (2024). Effect of welding parameters on microstructure and mechanical properties of dissimilar AISI 304/ductile cast iron fusion welded joints. Scientific Reports, 14, Article 70050. https://doi.org/10.1038/s41598-024-70050-0</w:t>
      </w:r>
    </w:p>
    <w:p w14:paraId="1DD67646" w14:textId="77777777" w:rsidR="00E316EF" w:rsidRPr="00D032E0" w:rsidRDefault="00E316EF" w:rsidP="00660DE6">
      <w:pPr>
        <w:spacing w:before="100" w:beforeAutospacing="1" w:after="100" w:afterAutospacing="1" w:line="240" w:lineRule="auto"/>
        <w:rPr>
          <w:rFonts w:ascii="Times New Roman" w:eastAsia="Times New Roman" w:hAnsi="Times New Roman" w:cs="Times New Roman"/>
          <w:i/>
          <w:iCs/>
          <w:kern w:val="0"/>
          <w:sz w:val="18"/>
          <w:szCs w:val="18"/>
          <w:lang w:val="en-US" w:eastAsia="el-GR"/>
          <w14:ligatures w14:val="none"/>
        </w:rPr>
      </w:pPr>
      <w:r w:rsidRPr="00D032E0">
        <w:rPr>
          <w:rFonts w:ascii="Times New Roman" w:eastAsia="Times New Roman" w:hAnsi="Times New Roman" w:cs="Times New Roman"/>
          <w:i/>
          <w:iCs/>
          <w:kern w:val="0"/>
          <w:sz w:val="18"/>
          <w:szCs w:val="18"/>
          <w:lang w:val="en-US" w:eastAsia="el-GR"/>
          <w14:ligatures w14:val="none"/>
        </w:rPr>
        <w:t>Ferreira, M. L. R. (2018). Welding productivity indicators: A critical analysis. IOSR Journal of Mechanical and Civil Engineering, 15(5), 22–32. https://doi.org/10.9790/1684-1505012232</w:t>
      </w:r>
    </w:p>
    <w:p w14:paraId="47841EDD" w14:textId="77777777" w:rsidR="00E316EF" w:rsidRPr="00D032E0" w:rsidRDefault="00E316EF" w:rsidP="00660DE6">
      <w:pPr>
        <w:spacing w:before="100" w:beforeAutospacing="1" w:after="100" w:afterAutospacing="1" w:line="240" w:lineRule="auto"/>
        <w:rPr>
          <w:rFonts w:ascii="Times New Roman" w:eastAsia="Times New Roman" w:hAnsi="Times New Roman" w:cs="Times New Roman"/>
          <w:i/>
          <w:iCs/>
          <w:kern w:val="0"/>
          <w:sz w:val="18"/>
          <w:szCs w:val="18"/>
          <w:lang w:val="en-US" w:eastAsia="el-GR"/>
          <w14:ligatures w14:val="none"/>
        </w:rPr>
      </w:pPr>
      <w:r w:rsidRPr="00D032E0">
        <w:rPr>
          <w:rFonts w:ascii="Times New Roman" w:eastAsia="Times New Roman" w:hAnsi="Times New Roman" w:cs="Times New Roman"/>
          <w:i/>
          <w:iCs/>
          <w:kern w:val="0"/>
          <w:sz w:val="18"/>
          <w:szCs w:val="18"/>
          <w:lang w:val="en-US" w:eastAsia="el-GR"/>
          <w14:ligatures w14:val="none"/>
        </w:rPr>
        <w:t>Juran, J. M., &amp; Godfrey, A. B. (Eds.). (1999). Juran’s quality handbook (5th ed.). McGraw-Hill.</w:t>
      </w:r>
    </w:p>
    <w:p w14:paraId="32A0F068" w14:textId="77777777" w:rsidR="00E316EF" w:rsidRPr="00D032E0" w:rsidRDefault="00E316EF" w:rsidP="00660DE6">
      <w:pPr>
        <w:spacing w:before="100" w:beforeAutospacing="1" w:after="100" w:afterAutospacing="1" w:line="240" w:lineRule="auto"/>
        <w:rPr>
          <w:rFonts w:ascii="Times New Roman" w:eastAsia="Times New Roman" w:hAnsi="Times New Roman" w:cs="Times New Roman"/>
          <w:i/>
          <w:iCs/>
          <w:kern w:val="0"/>
          <w:sz w:val="18"/>
          <w:szCs w:val="18"/>
          <w:lang w:val="en-US" w:eastAsia="el-GR"/>
          <w14:ligatures w14:val="none"/>
        </w:rPr>
      </w:pPr>
      <w:r w:rsidRPr="00D032E0">
        <w:rPr>
          <w:rFonts w:ascii="Times New Roman" w:eastAsia="Times New Roman" w:hAnsi="Times New Roman" w:cs="Times New Roman"/>
          <w:i/>
          <w:iCs/>
          <w:kern w:val="0"/>
          <w:sz w:val="18"/>
          <w:szCs w:val="18"/>
          <w:lang w:val="en-US" w:eastAsia="el-GR"/>
          <w14:ligatures w14:val="none"/>
        </w:rPr>
        <w:t>Kou, S. (2003). Welding metallurgy (2nd ed.). Wiley-Interscience.</w:t>
      </w:r>
    </w:p>
    <w:p w14:paraId="6333A3BD" w14:textId="77777777" w:rsidR="00E316EF" w:rsidRPr="00D032E0" w:rsidRDefault="00E316EF" w:rsidP="00660DE6">
      <w:pPr>
        <w:spacing w:before="100" w:beforeAutospacing="1" w:after="100" w:afterAutospacing="1" w:line="240" w:lineRule="auto"/>
        <w:rPr>
          <w:rFonts w:ascii="Times New Roman" w:eastAsia="Times New Roman" w:hAnsi="Times New Roman" w:cs="Times New Roman"/>
          <w:i/>
          <w:iCs/>
          <w:kern w:val="0"/>
          <w:sz w:val="18"/>
          <w:szCs w:val="18"/>
          <w:lang w:val="en-US" w:eastAsia="el-GR"/>
          <w14:ligatures w14:val="none"/>
        </w:rPr>
      </w:pPr>
      <w:r w:rsidRPr="00D032E0">
        <w:rPr>
          <w:rFonts w:ascii="Times New Roman" w:eastAsia="Times New Roman" w:hAnsi="Times New Roman" w:cs="Times New Roman"/>
          <w:i/>
          <w:iCs/>
          <w:kern w:val="0"/>
          <w:sz w:val="18"/>
          <w:szCs w:val="18"/>
          <w:lang w:val="en-US" w:eastAsia="el-GR"/>
          <w14:ligatures w14:val="none"/>
        </w:rPr>
        <w:t xml:space="preserve">Kumar, V., Yadav, S. K., Vijetha, K., Mendhe, V., Kumari, A., Shrivastava, V., Goga, G., &amp; Joshi, A. (2025). An investigation of the effect of GMAW and SMAW processes on mechanical and microstructural properties of welded E350 grade steel. Scientific Reports, 15, Article 36338. </w:t>
      </w:r>
      <w:hyperlink r:id="rId9" w:tgtFrame="_new" w:history="1">
        <w:r w:rsidRPr="00D032E0">
          <w:rPr>
            <w:rFonts w:ascii="Times New Roman" w:eastAsia="Times New Roman" w:hAnsi="Times New Roman" w:cs="Times New Roman"/>
            <w:i/>
            <w:iCs/>
            <w:color w:val="0000FF"/>
            <w:kern w:val="0"/>
            <w:sz w:val="18"/>
            <w:szCs w:val="18"/>
            <w:u w:val="single"/>
            <w:lang w:val="en-US" w:eastAsia="el-GR"/>
            <w14:ligatures w14:val="none"/>
          </w:rPr>
          <w:t>https://doi.org/10.1038/s41598-025-20140-4</w:t>
        </w:r>
      </w:hyperlink>
    </w:p>
    <w:p w14:paraId="4F1D8152" w14:textId="77777777" w:rsidR="00E316EF" w:rsidRPr="00D032E0" w:rsidRDefault="00E316EF" w:rsidP="00660DE6">
      <w:pPr>
        <w:spacing w:before="100" w:beforeAutospacing="1" w:after="100" w:afterAutospacing="1" w:line="240" w:lineRule="auto"/>
        <w:rPr>
          <w:rFonts w:ascii="Times New Roman" w:eastAsia="Times New Roman" w:hAnsi="Times New Roman" w:cs="Times New Roman"/>
          <w:i/>
          <w:iCs/>
          <w:kern w:val="0"/>
          <w:sz w:val="18"/>
          <w:szCs w:val="18"/>
          <w:lang w:val="en-US" w:eastAsia="el-GR"/>
          <w14:ligatures w14:val="none"/>
        </w:rPr>
      </w:pPr>
      <w:r w:rsidRPr="00D032E0">
        <w:rPr>
          <w:rFonts w:ascii="Times New Roman" w:eastAsia="Times New Roman" w:hAnsi="Times New Roman" w:cs="Times New Roman"/>
          <w:i/>
          <w:iCs/>
          <w:kern w:val="0"/>
          <w:sz w:val="18"/>
          <w:szCs w:val="18"/>
          <w:lang w:val="en-US" w:eastAsia="el-GR"/>
          <w14:ligatures w14:val="none"/>
        </w:rPr>
        <w:t xml:space="preserve">Love, P. E. D. (2002). Auditing the indirect consequences of rework in construction: A case based approach. Managerial Auditing Journal, 17(3), 138–146. </w:t>
      </w:r>
      <w:hyperlink r:id="rId10" w:tgtFrame="_new" w:history="1">
        <w:r w:rsidRPr="00D032E0">
          <w:rPr>
            <w:rFonts w:ascii="Times New Roman" w:eastAsia="Times New Roman" w:hAnsi="Times New Roman" w:cs="Times New Roman"/>
            <w:i/>
            <w:iCs/>
            <w:color w:val="0000FF"/>
            <w:kern w:val="0"/>
            <w:sz w:val="18"/>
            <w:szCs w:val="18"/>
            <w:u w:val="single"/>
            <w:lang w:val="en-US" w:eastAsia="el-GR"/>
            <w14:ligatures w14:val="none"/>
          </w:rPr>
          <w:t>https://doi.org/10.1108/02686900210419921</w:t>
        </w:r>
      </w:hyperlink>
    </w:p>
    <w:p w14:paraId="39F703B3" w14:textId="77777777" w:rsidR="00E316EF" w:rsidRPr="00D032E0" w:rsidRDefault="00E316EF" w:rsidP="00660DE6">
      <w:pPr>
        <w:spacing w:before="100" w:beforeAutospacing="1" w:after="100" w:afterAutospacing="1" w:line="240" w:lineRule="auto"/>
        <w:rPr>
          <w:rFonts w:ascii="Times New Roman" w:eastAsia="Times New Roman" w:hAnsi="Times New Roman" w:cs="Times New Roman"/>
          <w:i/>
          <w:iCs/>
          <w:kern w:val="0"/>
          <w:sz w:val="18"/>
          <w:szCs w:val="18"/>
          <w:lang w:val="en-US" w:eastAsia="el-GR"/>
          <w14:ligatures w14:val="none"/>
        </w:rPr>
      </w:pPr>
      <w:r w:rsidRPr="00D032E0">
        <w:rPr>
          <w:rFonts w:ascii="Times New Roman" w:eastAsia="Times New Roman" w:hAnsi="Times New Roman" w:cs="Times New Roman"/>
          <w:i/>
          <w:iCs/>
          <w:kern w:val="0"/>
          <w:sz w:val="18"/>
          <w:szCs w:val="18"/>
          <w:lang w:val="en-US" w:eastAsia="el-GR"/>
          <w14:ligatures w14:val="none"/>
        </w:rPr>
        <w:t xml:space="preserve">Project Management Institute. (2021). A guide to the project management body of knowledge </w:t>
      </w:r>
      <w:r w:rsidRPr="00D032E0">
        <w:rPr>
          <w:rFonts w:ascii="Times New Roman" w:eastAsia="Times New Roman" w:hAnsi="Times New Roman" w:cs="Times New Roman"/>
          <w:i/>
          <w:iCs/>
          <w:kern w:val="0"/>
          <w:sz w:val="18"/>
          <w:szCs w:val="18"/>
          <w:lang w:val="en-US" w:eastAsia="el-GR"/>
          <w14:ligatures w14:val="none"/>
        </w:rPr>
        <w:t>(PMBOK® guide) (7th ed.). Project Management Institute.</w:t>
      </w:r>
    </w:p>
    <w:p w14:paraId="5455CCDB" w14:textId="77777777" w:rsidR="00E316EF" w:rsidRPr="00D032E0" w:rsidRDefault="00E316EF" w:rsidP="00660DE6">
      <w:pPr>
        <w:spacing w:before="100" w:beforeAutospacing="1" w:after="100" w:afterAutospacing="1" w:line="240" w:lineRule="auto"/>
        <w:rPr>
          <w:rFonts w:ascii="Times New Roman" w:eastAsia="Times New Roman" w:hAnsi="Times New Roman" w:cs="Times New Roman"/>
          <w:i/>
          <w:iCs/>
          <w:kern w:val="0"/>
          <w:sz w:val="18"/>
          <w:szCs w:val="18"/>
          <w:lang w:val="en-US" w:eastAsia="el-GR"/>
          <w14:ligatures w14:val="none"/>
        </w:rPr>
      </w:pPr>
      <w:r w:rsidRPr="00D032E0">
        <w:rPr>
          <w:rFonts w:ascii="Times New Roman" w:eastAsia="Times New Roman" w:hAnsi="Times New Roman" w:cs="Times New Roman"/>
          <w:i/>
          <w:iCs/>
          <w:kern w:val="0"/>
          <w:sz w:val="18"/>
          <w:szCs w:val="18"/>
          <w:lang w:val="en-US" w:eastAsia="el-GR"/>
          <w14:ligatures w14:val="none"/>
        </w:rPr>
        <w:t xml:space="preserve">Shafeek, M., Suranjan, S., Doreswamy, D., &amp; Sachidananda, H. K. (2024). Effect of welding parameters on microstructure and mechanical properties of GMAW welded S275 steel welded zone. Discover Materials, 4, Article 169. </w:t>
      </w:r>
      <w:hyperlink r:id="rId11" w:tgtFrame="_new" w:history="1">
        <w:r w:rsidRPr="00D032E0">
          <w:rPr>
            <w:rFonts w:ascii="Times New Roman" w:eastAsia="Times New Roman" w:hAnsi="Times New Roman" w:cs="Times New Roman"/>
            <w:i/>
            <w:iCs/>
            <w:color w:val="0000FF"/>
            <w:kern w:val="0"/>
            <w:sz w:val="18"/>
            <w:szCs w:val="18"/>
            <w:u w:val="single"/>
            <w:lang w:val="en-US" w:eastAsia="el-GR"/>
            <w14:ligatures w14:val="none"/>
          </w:rPr>
          <w:t>https://doi.org/10.1007/s43939-024-00169-4</w:t>
        </w:r>
      </w:hyperlink>
    </w:p>
    <w:p w14:paraId="7AA0DDCC" w14:textId="77777777" w:rsidR="00E316EF" w:rsidRPr="00D032E0" w:rsidRDefault="00E316EF" w:rsidP="00660DE6">
      <w:pPr>
        <w:spacing w:before="100" w:beforeAutospacing="1" w:after="100" w:afterAutospacing="1" w:line="240" w:lineRule="auto"/>
        <w:rPr>
          <w:rFonts w:ascii="Times New Roman" w:eastAsia="Times New Roman" w:hAnsi="Times New Roman" w:cs="Times New Roman"/>
          <w:i/>
          <w:iCs/>
          <w:kern w:val="0"/>
          <w:sz w:val="18"/>
          <w:szCs w:val="18"/>
          <w:lang w:val="en-US" w:eastAsia="el-GR"/>
          <w14:ligatures w14:val="none"/>
        </w:rPr>
      </w:pPr>
      <w:r w:rsidRPr="00D032E0">
        <w:rPr>
          <w:rFonts w:ascii="Times New Roman" w:eastAsia="Times New Roman" w:hAnsi="Times New Roman" w:cs="Times New Roman"/>
          <w:i/>
          <w:iCs/>
          <w:kern w:val="0"/>
          <w:sz w:val="18"/>
          <w:szCs w:val="18"/>
          <w:lang w:val="en-US" w:eastAsia="el-GR"/>
          <w14:ligatures w14:val="none"/>
        </w:rPr>
        <w:t>Sonatest. (2020). Ultrasonic inspection of welds (Educational Note E011). Sonatest.</w:t>
      </w:r>
    </w:p>
    <w:p w14:paraId="0869DF10" w14:textId="77777777" w:rsidR="00E316EF" w:rsidRPr="00D032E0" w:rsidRDefault="00E316EF" w:rsidP="00660DE6">
      <w:pPr>
        <w:spacing w:before="100" w:beforeAutospacing="1" w:after="100" w:afterAutospacing="1" w:line="240" w:lineRule="auto"/>
        <w:rPr>
          <w:rFonts w:ascii="Times New Roman" w:eastAsia="Times New Roman" w:hAnsi="Times New Roman" w:cs="Times New Roman"/>
          <w:i/>
          <w:iCs/>
          <w:kern w:val="0"/>
          <w:sz w:val="18"/>
          <w:szCs w:val="18"/>
          <w:lang w:val="en-US" w:eastAsia="el-GR"/>
          <w14:ligatures w14:val="none"/>
        </w:rPr>
      </w:pPr>
      <w:r w:rsidRPr="00D032E0">
        <w:rPr>
          <w:rFonts w:ascii="Times New Roman" w:eastAsia="Times New Roman" w:hAnsi="Times New Roman" w:cs="Times New Roman"/>
          <w:i/>
          <w:iCs/>
          <w:kern w:val="0"/>
          <w:sz w:val="18"/>
          <w:szCs w:val="18"/>
          <w:lang w:val="en-US" w:eastAsia="el-GR"/>
          <w14:ligatures w14:val="none"/>
        </w:rPr>
        <w:t xml:space="preserve">Yapp, D., &amp; Blackman, S. A. (2004). Recent developments in high productivity pipeline welding. Journal of the Brazilian Society of Mechanical Sciences and Engineering, 26(1), 89–97. </w:t>
      </w:r>
      <w:hyperlink r:id="rId12" w:tgtFrame="_new" w:history="1">
        <w:r w:rsidRPr="00D032E0">
          <w:rPr>
            <w:rFonts w:ascii="Times New Roman" w:eastAsia="Times New Roman" w:hAnsi="Times New Roman" w:cs="Times New Roman"/>
            <w:i/>
            <w:iCs/>
            <w:color w:val="0000FF"/>
            <w:kern w:val="0"/>
            <w:sz w:val="18"/>
            <w:szCs w:val="18"/>
            <w:u w:val="single"/>
            <w:lang w:val="en-US" w:eastAsia="el-GR"/>
            <w14:ligatures w14:val="none"/>
          </w:rPr>
          <w:t>https://doi.org/10.1590/S1678-58782004000100015</w:t>
        </w:r>
      </w:hyperlink>
    </w:p>
    <w:p w14:paraId="609F1757" w14:textId="77777777" w:rsidR="00E316EF" w:rsidRPr="00D032E0" w:rsidRDefault="00E316EF" w:rsidP="005163E9">
      <w:pPr>
        <w:pBdr>
          <w:bottom w:val="single" w:sz="6" w:space="0" w:color="auto"/>
        </w:pBdr>
        <w:spacing w:after="0" w:line="240" w:lineRule="auto"/>
        <w:jc w:val="center"/>
        <w:rPr>
          <w:rFonts w:ascii="Times New Roman" w:eastAsia="Times New Roman" w:hAnsi="Times New Roman" w:cs="Times New Roman"/>
          <w:kern w:val="0"/>
          <w:sz w:val="18"/>
          <w:szCs w:val="18"/>
          <w:lang w:val="en-US" w:eastAsia="el-GR"/>
          <w14:ligatures w14:val="none"/>
        </w:rPr>
      </w:pPr>
      <w:r w:rsidRPr="00D032E0">
        <w:rPr>
          <w:rFonts w:ascii="Times New Roman" w:eastAsia="Times New Roman" w:hAnsi="Times New Roman" w:cs="Times New Roman"/>
          <w:vanish/>
          <w:kern w:val="0"/>
          <w:sz w:val="18"/>
          <w:szCs w:val="18"/>
          <w:lang w:eastAsia="el-GR"/>
          <w14:ligatures w14:val="none"/>
        </w:rPr>
        <w:t>Αρχή</w:t>
      </w:r>
      <w:r w:rsidRPr="00D032E0">
        <w:rPr>
          <w:rFonts w:ascii="Times New Roman" w:eastAsia="Times New Roman" w:hAnsi="Times New Roman" w:cs="Times New Roman"/>
          <w:vanish/>
          <w:kern w:val="0"/>
          <w:sz w:val="18"/>
          <w:szCs w:val="18"/>
          <w:lang w:val="en-US" w:eastAsia="el-GR"/>
          <w14:ligatures w14:val="none"/>
        </w:rPr>
        <w:t xml:space="preserve"> </w:t>
      </w:r>
      <w:r w:rsidRPr="00D032E0">
        <w:rPr>
          <w:rFonts w:ascii="Times New Roman" w:eastAsia="Times New Roman" w:hAnsi="Times New Roman" w:cs="Times New Roman"/>
          <w:vanish/>
          <w:kern w:val="0"/>
          <w:sz w:val="18"/>
          <w:szCs w:val="18"/>
          <w:lang w:eastAsia="el-GR"/>
          <w14:ligatures w14:val="none"/>
        </w:rPr>
        <w:t>φόρμας</w:t>
      </w:r>
    </w:p>
    <w:p w14:paraId="0E498B0B" w14:textId="77777777" w:rsidR="00F962D3" w:rsidRDefault="00F962D3" w:rsidP="005163E9">
      <w:pPr>
        <w:pBdr>
          <w:bottom w:val="single" w:sz="6" w:space="0" w:color="auto"/>
        </w:pBdr>
        <w:spacing w:after="0" w:line="240" w:lineRule="auto"/>
        <w:jc w:val="center"/>
        <w:rPr>
          <w:rFonts w:ascii="Times New Roman" w:eastAsia="Times New Roman" w:hAnsi="Times New Roman" w:cs="Times New Roman"/>
          <w:kern w:val="0"/>
          <w:sz w:val="20"/>
          <w:szCs w:val="20"/>
          <w:lang w:eastAsia="el-GR"/>
          <w14:ligatures w14:val="none"/>
        </w:rPr>
      </w:pPr>
    </w:p>
    <w:p w14:paraId="48D72C68" w14:textId="77777777" w:rsidR="00F962D3" w:rsidRDefault="00F962D3" w:rsidP="005163E9">
      <w:pPr>
        <w:pBdr>
          <w:bottom w:val="single" w:sz="6" w:space="0" w:color="auto"/>
        </w:pBdr>
        <w:spacing w:after="0" w:line="240" w:lineRule="auto"/>
        <w:jc w:val="center"/>
        <w:rPr>
          <w:rFonts w:ascii="Times New Roman" w:eastAsia="Times New Roman" w:hAnsi="Times New Roman" w:cs="Times New Roman"/>
          <w:kern w:val="0"/>
          <w:sz w:val="20"/>
          <w:szCs w:val="20"/>
          <w:lang w:eastAsia="el-GR"/>
          <w14:ligatures w14:val="none"/>
        </w:rPr>
      </w:pPr>
    </w:p>
    <w:sectPr w:rsidR="00F962D3" w:rsidSect="005E1422">
      <w:type w:val="continuous"/>
      <w:pgSz w:w="11906" w:h="16838"/>
      <w:pgMar w:top="1440" w:right="1800" w:bottom="1440" w:left="1800"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2D312E" w14:textId="77777777" w:rsidR="006C501E" w:rsidRDefault="006C501E" w:rsidP="00BE75CB">
      <w:pPr>
        <w:spacing w:after="0" w:line="240" w:lineRule="auto"/>
      </w:pPr>
      <w:r>
        <w:separator/>
      </w:r>
    </w:p>
  </w:endnote>
  <w:endnote w:type="continuationSeparator" w:id="0">
    <w:p w14:paraId="532C4CDB" w14:textId="77777777" w:rsidR="006C501E" w:rsidRDefault="006C501E" w:rsidP="00BE75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1"/>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09EEB7" w14:textId="77777777" w:rsidR="006C501E" w:rsidRDefault="006C501E" w:rsidP="00BE75CB">
      <w:pPr>
        <w:spacing w:after="0" w:line="240" w:lineRule="auto"/>
      </w:pPr>
      <w:r>
        <w:separator/>
      </w:r>
    </w:p>
  </w:footnote>
  <w:footnote w:type="continuationSeparator" w:id="0">
    <w:p w14:paraId="479CD98D" w14:textId="77777777" w:rsidR="006C501E" w:rsidRDefault="006C501E" w:rsidP="00BE75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4A0" w:firstRow="1" w:lastRow="0" w:firstColumn="1" w:lastColumn="0" w:noHBand="0" w:noVBand="1"/>
    </w:tblPr>
    <w:tblGrid>
      <w:gridCol w:w="4153"/>
      <w:gridCol w:w="4153"/>
    </w:tblGrid>
    <w:tr w:rsidR="00BE75CB" w:rsidRPr="00373921" w14:paraId="60CE1884" w14:textId="77777777" w:rsidTr="00C42536">
      <w:tc>
        <w:tcPr>
          <w:tcW w:w="5250" w:type="dxa"/>
        </w:tcPr>
        <w:p w14:paraId="5384B650" w14:textId="05523460" w:rsidR="00BE75CB" w:rsidRPr="00373921" w:rsidRDefault="00BE75CB" w:rsidP="00BE75CB">
          <w:pPr>
            <w:pStyle w:val="IEEEAuthorName"/>
            <w:rPr>
              <w:lang w:val="el-GR"/>
            </w:rPr>
          </w:pPr>
        </w:p>
      </w:tc>
      <w:tc>
        <w:tcPr>
          <w:tcW w:w="5250" w:type="dxa"/>
        </w:tcPr>
        <w:p w14:paraId="745AF74C" w14:textId="44337667" w:rsidR="00BE75CB" w:rsidRPr="00373921" w:rsidRDefault="00BE75CB" w:rsidP="00BE75CB">
          <w:pPr>
            <w:pStyle w:val="IEEEAuthorName"/>
            <w:rPr>
              <w:lang w:val="el-GR"/>
            </w:rPr>
          </w:pPr>
        </w:p>
      </w:tc>
    </w:tr>
  </w:tbl>
  <w:p w14:paraId="35A2C87F" w14:textId="77777777" w:rsidR="00BE75CB" w:rsidRDefault="00BE75C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5A4D3B"/>
    <w:multiLevelType w:val="hybridMultilevel"/>
    <w:tmpl w:val="4C4C90AE"/>
    <w:lvl w:ilvl="0" w:tplc="0408001B">
      <w:start w:val="1"/>
      <w:numFmt w:val="lowerRoman"/>
      <w:lvlText w:val="%1."/>
      <w:lvlJc w:val="right"/>
      <w:pPr>
        <w:ind w:left="810" w:hanging="360"/>
      </w:pPr>
    </w:lvl>
    <w:lvl w:ilvl="1" w:tplc="04080019" w:tentative="1">
      <w:start w:val="1"/>
      <w:numFmt w:val="lowerLetter"/>
      <w:lvlText w:val="%2."/>
      <w:lvlJc w:val="left"/>
      <w:pPr>
        <w:ind w:left="1530" w:hanging="360"/>
      </w:pPr>
    </w:lvl>
    <w:lvl w:ilvl="2" w:tplc="0408001B" w:tentative="1">
      <w:start w:val="1"/>
      <w:numFmt w:val="lowerRoman"/>
      <w:lvlText w:val="%3."/>
      <w:lvlJc w:val="right"/>
      <w:pPr>
        <w:ind w:left="2250" w:hanging="180"/>
      </w:pPr>
    </w:lvl>
    <w:lvl w:ilvl="3" w:tplc="0408000F" w:tentative="1">
      <w:start w:val="1"/>
      <w:numFmt w:val="decimal"/>
      <w:lvlText w:val="%4."/>
      <w:lvlJc w:val="left"/>
      <w:pPr>
        <w:ind w:left="2970" w:hanging="360"/>
      </w:pPr>
    </w:lvl>
    <w:lvl w:ilvl="4" w:tplc="04080019" w:tentative="1">
      <w:start w:val="1"/>
      <w:numFmt w:val="lowerLetter"/>
      <w:lvlText w:val="%5."/>
      <w:lvlJc w:val="left"/>
      <w:pPr>
        <w:ind w:left="3690" w:hanging="360"/>
      </w:pPr>
    </w:lvl>
    <w:lvl w:ilvl="5" w:tplc="0408001B" w:tentative="1">
      <w:start w:val="1"/>
      <w:numFmt w:val="lowerRoman"/>
      <w:lvlText w:val="%6."/>
      <w:lvlJc w:val="right"/>
      <w:pPr>
        <w:ind w:left="4410" w:hanging="180"/>
      </w:pPr>
    </w:lvl>
    <w:lvl w:ilvl="6" w:tplc="0408000F" w:tentative="1">
      <w:start w:val="1"/>
      <w:numFmt w:val="decimal"/>
      <w:lvlText w:val="%7."/>
      <w:lvlJc w:val="left"/>
      <w:pPr>
        <w:ind w:left="5130" w:hanging="360"/>
      </w:pPr>
    </w:lvl>
    <w:lvl w:ilvl="7" w:tplc="04080019" w:tentative="1">
      <w:start w:val="1"/>
      <w:numFmt w:val="lowerLetter"/>
      <w:lvlText w:val="%8."/>
      <w:lvlJc w:val="left"/>
      <w:pPr>
        <w:ind w:left="5850" w:hanging="360"/>
      </w:pPr>
    </w:lvl>
    <w:lvl w:ilvl="8" w:tplc="0408001B" w:tentative="1">
      <w:start w:val="1"/>
      <w:numFmt w:val="lowerRoman"/>
      <w:lvlText w:val="%9."/>
      <w:lvlJc w:val="right"/>
      <w:pPr>
        <w:ind w:left="6570" w:hanging="180"/>
      </w:pPr>
    </w:lvl>
  </w:abstractNum>
  <w:num w:numId="1" w16cid:durableId="12188596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16EF"/>
    <w:rsid w:val="00022DE3"/>
    <w:rsid w:val="000B2447"/>
    <w:rsid w:val="000E1E3E"/>
    <w:rsid w:val="00263CB8"/>
    <w:rsid w:val="002A0691"/>
    <w:rsid w:val="00325DA6"/>
    <w:rsid w:val="00452174"/>
    <w:rsid w:val="004C6FF6"/>
    <w:rsid w:val="005163E9"/>
    <w:rsid w:val="00553C1C"/>
    <w:rsid w:val="00592CF4"/>
    <w:rsid w:val="005E1422"/>
    <w:rsid w:val="00660DE6"/>
    <w:rsid w:val="006706CB"/>
    <w:rsid w:val="006B4817"/>
    <w:rsid w:val="006C501E"/>
    <w:rsid w:val="00775202"/>
    <w:rsid w:val="00783180"/>
    <w:rsid w:val="007959D3"/>
    <w:rsid w:val="007E7032"/>
    <w:rsid w:val="00814DDF"/>
    <w:rsid w:val="008174AA"/>
    <w:rsid w:val="009225C8"/>
    <w:rsid w:val="0093426D"/>
    <w:rsid w:val="00943209"/>
    <w:rsid w:val="00947B4E"/>
    <w:rsid w:val="009A2913"/>
    <w:rsid w:val="00A43B7B"/>
    <w:rsid w:val="00A43F42"/>
    <w:rsid w:val="00A724BD"/>
    <w:rsid w:val="00AD5724"/>
    <w:rsid w:val="00AE0791"/>
    <w:rsid w:val="00B74007"/>
    <w:rsid w:val="00BE75CB"/>
    <w:rsid w:val="00C075B6"/>
    <w:rsid w:val="00C1503E"/>
    <w:rsid w:val="00C32195"/>
    <w:rsid w:val="00C543C7"/>
    <w:rsid w:val="00C61253"/>
    <w:rsid w:val="00D032E0"/>
    <w:rsid w:val="00E316EF"/>
    <w:rsid w:val="00F01E7D"/>
    <w:rsid w:val="00F023D2"/>
    <w:rsid w:val="00F26827"/>
    <w:rsid w:val="00F325A0"/>
    <w:rsid w:val="00F962D3"/>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58CDB2"/>
  <w15:chartTrackingRefBased/>
  <w15:docId w15:val="{1F4BBB7F-5015-477F-B843-1111CC7A33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l-G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316E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316E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316E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316E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316E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316E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316E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316E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316E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16E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316E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316E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316E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316E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316E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316E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316E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316EF"/>
    <w:rPr>
      <w:rFonts w:eastAsiaTheme="majorEastAsia" w:cstheme="majorBidi"/>
      <w:color w:val="272727" w:themeColor="text1" w:themeTint="D8"/>
    </w:rPr>
  </w:style>
  <w:style w:type="paragraph" w:styleId="Title">
    <w:name w:val="Title"/>
    <w:basedOn w:val="Normal"/>
    <w:next w:val="Normal"/>
    <w:link w:val="TitleChar"/>
    <w:uiPriority w:val="10"/>
    <w:qFormat/>
    <w:rsid w:val="00E316E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316E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316E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316E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316EF"/>
    <w:pPr>
      <w:spacing w:before="160"/>
      <w:jc w:val="center"/>
    </w:pPr>
    <w:rPr>
      <w:i/>
      <w:iCs/>
      <w:color w:val="404040" w:themeColor="text1" w:themeTint="BF"/>
    </w:rPr>
  </w:style>
  <w:style w:type="character" w:customStyle="1" w:styleId="QuoteChar">
    <w:name w:val="Quote Char"/>
    <w:basedOn w:val="DefaultParagraphFont"/>
    <w:link w:val="Quote"/>
    <w:uiPriority w:val="29"/>
    <w:rsid w:val="00E316EF"/>
    <w:rPr>
      <w:i/>
      <w:iCs/>
      <w:color w:val="404040" w:themeColor="text1" w:themeTint="BF"/>
    </w:rPr>
  </w:style>
  <w:style w:type="paragraph" w:styleId="ListParagraph">
    <w:name w:val="List Paragraph"/>
    <w:basedOn w:val="Normal"/>
    <w:uiPriority w:val="34"/>
    <w:qFormat/>
    <w:rsid w:val="00E316EF"/>
    <w:pPr>
      <w:ind w:left="720"/>
      <w:contextualSpacing/>
    </w:pPr>
  </w:style>
  <w:style w:type="character" w:styleId="IntenseEmphasis">
    <w:name w:val="Intense Emphasis"/>
    <w:basedOn w:val="DefaultParagraphFont"/>
    <w:uiPriority w:val="21"/>
    <w:qFormat/>
    <w:rsid w:val="00E316EF"/>
    <w:rPr>
      <w:i/>
      <w:iCs/>
      <w:color w:val="0F4761" w:themeColor="accent1" w:themeShade="BF"/>
    </w:rPr>
  </w:style>
  <w:style w:type="paragraph" w:styleId="IntenseQuote">
    <w:name w:val="Intense Quote"/>
    <w:basedOn w:val="Normal"/>
    <w:next w:val="Normal"/>
    <w:link w:val="IntenseQuoteChar"/>
    <w:uiPriority w:val="30"/>
    <w:qFormat/>
    <w:rsid w:val="00E316E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316EF"/>
    <w:rPr>
      <w:i/>
      <w:iCs/>
      <w:color w:val="0F4761" w:themeColor="accent1" w:themeShade="BF"/>
    </w:rPr>
  </w:style>
  <w:style w:type="character" w:styleId="IntenseReference">
    <w:name w:val="Intense Reference"/>
    <w:basedOn w:val="DefaultParagraphFont"/>
    <w:uiPriority w:val="32"/>
    <w:qFormat/>
    <w:rsid w:val="00E316EF"/>
    <w:rPr>
      <w:b/>
      <w:bCs/>
      <w:smallCaps/>
      <w:color w:val="0F4761" w:themeColor="accent1" w:themeShade="BF"/>
      <w:spacing w:val="5"/>
    </w:rPr>
  </w:style>
  <w:style w:type="paragraph" w:customStyle="1" w:styleId="IEEEAuthorName">
    <w:name w:val="IEEE Author Name"/>
    <w:basedOn w:val="Normal"/>
    <w:next w:val="Normal"/>
    <w:uiPriority w:val="99"/>
    <w:rsid w:val="00BE75CB"/>
    <w:pPr>
      <w:adjustRightInd w:val="0"/>
      <w:snapToGrid w:val="0"/>
      <w:spacing w:before="120" w:after="120" w:line="240" w:lineRule="auto"/>
      <w:jc w:val="center"/>
    </w:pPr>
    <w:rPr>
      <w:rFonts w:ascii="Times New Roman" w:eastAsia="SimSun" w:hAnsi="Times New Roman" w:cs="Times New Roman"/>
      <w:kern w:val="0"/>
      <w:sz w:val="22"/>
      <w:lang w:val="en-GB" w:eastAsia="en-GB"/>
      <w14:ligatures w14:val="none"/>
    </w:rPr>
  </w:style>
  <w:style w:type="paragraph" w:customStyle="1" w:styleId="IEEEFigureCaptionSingle-Line">
    <w:name w:val="IEEE Figure Caption Single-Line"/>
    <w:basedOn w:val="Normal"/>
    <w:next w:val="Normal"/>
    <w:uiPriority w:val="99"/>
    <w:rsid w:val="00BE75CB"/>
    <w:pPr>
      <w:spacing w:before="120" w:after="120" w:line="240" w:lineRule="auto"/>
      <w:jc w:val="center"/>
    </w:pPr>
    <w:rPr>
      <w:rFonts w:ascii="Times New Roman" w:eastAsia="SimSun" w:hAnsi="Times New Roman" w:cs="Times New Roman"/>
      <w:kern w:val="0"/>
      <w:sz w:val="16"/>
      <w:lang w:val="en-AU" w:eastAsia="zh-CN"/>
      <w14:ligatures w14:val="none"/>
    </w:rPr>
  </w:style>
  <w:style w:type="paragraph" w:styleId="Header">
    <w:name w:val="header"/>
    <w:basedOn w:val="Normal"/>
    <w:link w:val="HeaderChar"/>
    <w:uiPriority w:val="99"/>
    <w:unhideWhenUsed/>
    <w:rsid w:val="00BE75CB"/>
    <w:pPr>
      <w:tabs>
        <w:tab w:val="center" w:pos="4153"/>
        <w:tab w:val="right" w:pos="8306"/>
      </w:tabs>
      <w:spacing w:after="0" w:line="240" w:lineRule="auto"/>
    </w:pPr>
  </w:style>
  <w:style w:type="character" w:customStyle="1" w:styleId="HeaderChar">
    <w:name w:val="Header Char"/>
    <w:basedOn w:val="DefaultParagraphFont"/>
    <w:link w:val="Header"/>
    <w:uiPriority w:val="99"/>
    <w:rsid w:val="00BE75CB"/>
  </w:style>
  <w:style w:type="paragraph" w:styleId="Footer">
    <w:name w:val="footer"/>
    <w:basedOn w:val="Normal"/>
    <w:link w:val="FooterChar"/>
    <w:uiPriority w:val="99"/>
    <w:unhideWhenUsed/>
    <w:rsid w:val="00BE75CB"/>
    <w:pPr>
      <w:tabs>
        <w:tab w:val="center" w:pos="4153"/>
        <w:tab w:val="right" w:pos="8306"/>
      </w:tabs>
      <w:spacing w:after="0" w:line="240" w:lineRule="auto"/>
    </w:pPr>
  </w:style>
  <w:style w:type="character" w:customStyle="1" w:styleId="FooterChar">
    <w:name w:val="Footer Char"/>
    <w:basedOn w:val="DefaultParagraphFont"/>
    <w:link w:val="Footer"/>
    <w:uiPriority w:val="99"/>
    <w:rsid w:val="00BE75CB"/>
  </w:style>
  <w:style w:type="character" w:styleId="CommentReference">
    <w:name w:val="annotation reference"/>
    <w:basedOn w:val="DefaultParagraphFont"/>
    <w:uiPriority w:val="99"/>
    <w:semiHidden/>
    <w:unhideWhenUsed/>
    <w:rsid w:val="00660DE6"/>
    <w:rPr>
      <w:sz w:val="16"/>
      <w:szCs w:val="16"/>
    </w:rPr>
  </w:style>
  <w:style w:type="paragraph" w:styleId="CommentText">
    <w:name w:val="annotation text"/>
    <w:basedOn w:val="Normal"/>
    <w:link w:val="CommentTextChar"/>
    <w:uiPriority w:val="99"/>
    <w:semiHidden/>
    <w:unhideWhenUsed/>
    <w:rsid w:val="00660DE6"/>
    <w:pPr>
      <w:spacing w:line="240" w:lineRule="auto"/>
    </w:pPr>
    <w:rPr>
      <w:sz w:val="20"/>
      <w:szCs w:val="20"/>
    </w:rPr>
  </w:style>
  <w:style w:type="character" w:customStyle="1" w:styleId="CommentTextChar">
    <w:name w:val="Comment Text Char"/>
    <w:basedOn w:val="DefaultParagraphFont"/>
    <w:link w:val="CommentText"/>
    <w:uiPriority w:val="99"/>
    <w:semiHidden/>
    <w:rsid w:val="00660DE6"/>
    <w:rPr>
      <w:sz w:val="20"/>
      <w:szCs w:val="20"/>
    </w:rPr>
  </w:style>
  <w:style w:type="paragraph" w:styleId="CommentSubject">
    <w:name w:val="annotation subject"/>
    <w:basedOn w:val="CommentText"/>
    <w:next w:val="CommentText"/>
    <w:link w:val="CommentSubjectChar"/>
    <w:uiPriority w:val="99"/>
    <w:semiHidden/>
    <w:unhideWhenUsed/>
    <w:rsid w:val="00660DE6"/>
    <w:rPr>
      <w:b/>
      <w:bCs/>
    </w:rPr>
  </w:style>
  <w:style w:type="character" w:customStyle="1" w:styleId="CommentSubjectChar">
    <w:name w:val="Comment Subject Char"/>
    <w:basedOn w:val="CommentTextChar"/>
    <w:link w:val="CommentSubject"/>
    <w:uiPriority w:val="99"/>
    <w:semiHidden/>
    <w:rsid w:val="00660DE6"/>
    <w:rPr>
      <w:b/>
      <w:bCs/>
      <w:sz w:val="20"/>
      <w:szCs w:val="20"/>
    </w:rPr>
  </w:style>
  <w:style w:type="paragraph" w:customStyle="1" w:styleId="IEEETitle">
    <w:name w:val="IEEE Title"/>
    <w:basedOn w:val="Normal"/>
    <w:next w:val="IEEEAuthorName"/>
    <w:uiPriority w:val="99"/>
    <w:rsid w:val="00592CF4"/>
    <w:pPr>
      <w:adjustRightInd w:val="0"/>
      <w:snapToGrid w:val="0"/>
      <w:spacing w:after="0" w:line="240" w:lineRule="auto"/>
      <w:jc w:val="center"/>
    </w:pPr>
    <w:rPr>
      <w:rFonts w:ascii="Times New Roman" w:eastAsia="SimSun" w:hAnsi="Times New Roman" w:cs="Times New Roman"/>
      <w:kern w:val="0"/>
      <w:sz w:val="48"/>
      <w:lang w:val="en-AU" w:eastAsia="zh-C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16/j.fusengdes.2023.113980"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s://doi.org/10.1590/S1678-5878200400010001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007/s43939-024-00169-4" TargetMode="External"/><Relationship Id="rId5" Type="http://schemas.openxmlformats.org/officeDocument/2006/relationships/footnotes" Target="footnotes.xml"/><Relationship Id="rId10" Type="http://schemas.openxmlformats.org/officeDocument/2006/relationships/hyperlink" Target="https://doi.org/10.1108/02686900210419921" TargetMode="External"/><Relationship Id="rId4" Type="http://schemas.openxmlformats.org/officeDocument/2006/relationships/webSettings" Target="webSettings.xml"/><Relationship Id="rId9" Type="http://schemas.openxmlformats.org/officeDocument/2006/relationships/hyperlink" Target="https://doi.org/10.1038/s41598-025-20140-4" TargetMode="External"/><Relationship Id="rId14"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109</TotalTime>
  <Pages>5</Pages>
  <Words>3189</Words>
  <Characters>17226</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2026-07-04T10:12:00Z</dcterms:created>
  <dcterms:modified xsi:type="dcterms:W3CDTF">2026-07-04T13:45:00Z</dcterms:modified>
</cp:coreProperties>
</file>