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9C3E9" w14:textId="77777777" w:rsidR="00653EA3" w:rsidRPr="000F3293" w:rsidRDefault="00653EA3" w:rsidP="00653EA3">
      <w:pPr>
        <w:pStyle w:val="a9"/>
        <w:spacing w:line="360" w:lineRule="auto"/>
        <w:jc w:val="center"/>
      </w:pPr>
      <w:r w:rsidRPr="000F3293">
        <w:rPr>
          <w:noProof/>
        </w:rPr>
        <w:drawing>
          <wp:inline distT="0" distB="0" distL="0" distR="0" wp14:anchorId="733C1E44" wp14:editId="6462193A">
            <wp:extent cx="662940" cy="685800"/>
            <wp:effectExtent l="0" t="0" r="3810" b="0"/>
            <wp:docPr id="5875324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r="62366"/>
                    <a:stretch>
                      <a:fillRect/>
                    </a:stretch>
                  </pic:blipFill>
                  <pic:spPr bwMode="auto">
                    <a:xfrm>
                      <a:off x="0" y="0"/>
                      <a:ext cx="662940" cy="685800"/>
                    </a:xfrm>
                    <a:prstGeom prst="rect">
                      <a:avLst/>
                    </a:prstGeom>
                    <a:noFill/>
                    <a:ln>
                      <a:noFill/>
                    </a:ln>
                  </pic:spPr>
                </pic:pic>
              </a:graphicData>
            </a:graphic>
          </wp:inline>
        </w:drawing>
      </w:r>
    </w:p>
    <w:p w14:paraId="63CD9ACF" w14:textId="77777777" w:rsidR="00653EA3" w:rsidRPr="000F3293" w:rsidRDefault="00653EA3" w:rsidP="00653EA3">
      <w:pPr>
        <w:pStyle w:val="a9"/>
        <w:spacing w:line="360" w:lineRule="auto"/>
        <w:jc w:val="center"/>
      </w:pPr>
    </w:p>
    <w:p w14:paraId="61B8D6E2" w14:textId="77777777" w:rsidR="00653EA3" w:rsidRPr="000F3293" w:rsidRDefault="00653EA3" w:rsidP="00653EA3">
      <w:pPr>
        <w:pStyle w:val="a9"/>
        <w:spacing w:line="360" w:lineRule="auto"/>
        <w:jc w:val="center"/>
        <w:rPr>
          <w:b/>
          <w:bCs/>
          <w:spacing w:val="20"/>
        </w:rPr>
      </w:pPr>
      <w:r w:rsidRPr="000F3293">
        <w:rPr>
          <w:b/>
          <w:bCs/>
          <w:spacing w:val="20"/>
        </w:rPr>
        <w:t>ΕΛΛΗΝΙΚΟ ΑΝΟΙΚΤΟ ΠΑΝΕΠΙΣΤΗΜΙΟ</w:t>
      </w:r>
    </w:p>
    <w:p w14:paraId="0B187439" w14:textId="77777777" w:rsidR="00653EA3" w:rsidRPr="000F3293" w:rsidRDefault="00653EA3" w:rsidP="00653EA3">
      <w:pPr>
        <w:pStyle w:val="a9"/>
        <w:spacing w:line="360" w:lineRule="auto"/>
        <w:jc w:val="center"/>
        <w:rPr>
          <w:b/>
          <w:bCs/>
          <w:spacing w:val="20"/>
        </w:rPr>
      </w:pPr>
    </w:p>
    <w:p w14:paraId="442F5332" w14:textId="77777777" w:rsidR="00653EA3" w:rsidRPr="000F3293" w:rsidRDefault="00653EA3" w:rsidP="00653EA3">
      <w:pPr>
        <w:pStyle w:val="a9"/>
        <w:spacing w:line="360" w:lineRule="auto"/>
        <w:jc w:val="center"/>
        <w:rPr>
          <w:b/>
          <w:bCs/>
          <w:spacing w:val="20"/>
        </w:rPr>
      </w:pPr>
      <w:r w:rsidRPr="000F3293">
        <w:rPr>
          <w:b/>
          <w:bCs/>
          <w:spacing w:val="20"/>
        </w:rPr>
        <w:t>ΣΧΟΛΗ ΚΟΙΝΩΝΙΚΩΝ ΕΠΙΣΤΗΜΩΝ</w:t>
      </w:r>
    </w:p>
    <w:p w14:paraId="6697909C" w14:textId="77777777" w:rsidR="00653EA3" w:rsidRPr="000F3293" w:rsidRDefault="00653EA3" w:rsidP="00653EA3">
      <w:pPr>
        <w:pStyle w:val="a9"/>
        <w:spacing w:line="360" w:lineRule="auto"/>
        <w:rPr>
          <w:b/>
          <w:bCs/>
          <w:spacing w:val="20"/>
        </w:rPr>
      </w:pPr>
    </w:p>
    <w:p w14:paraId="5F939CA4" w14:textId="77777777" w:rsidR="00653EA3" w:rsidRPr="000F3293" w:rsidRDefault="00653EA3" w:rsidP="00653EA3">
      <w:pPr>
        <w:pStyle w:val="a9"/>
        <w:spacing w:line="360" w:lineRule="auto"/>
        <w:jc w:val="center"/>
        <w:rPr>
          <w:b/>
          <w:bCs/>
          <w:spacing w:val="20"/>
        </w:rPr>
      </w:pPr>
    </w:p>
    <w:p w14:paraId="3CED35F7" w14:textId="77777777" w:rsidR="00653EA3" w:rsidRPr="000F3293" w:rsidRDefault="00653EA3" w:rsidP="00653EA3">
      <w:pPr>
        <w:pStyle w:val="a9"/>
        <w:spacing w:line="360" w:lineRule="auto"/>
        <w:jc w:val="center"/>
        <w:rPr>
          <w:spacing w:val="20"/>
        </w:rPr>
      </w:pPr>
      <w:r w:rsidRPr="000F3293">
        <w:rPr>
          <w:spacing w:val="20"/>
        </w:rPr>
        <w:t>ΔΙΟΙΚΗΣΗ ΠΟΛΙΤΙΣΜΙΚΩΝ ΜΟΝΑΔΩΝ</w:t>
      </w:r>
    </w:p>
    <w:p w14:paraId="0E487BB8" w14:textId="77777777" w:rsidR="009A3F91" w:rsidRPr="000F3293" w:rsidRDefault="009A3F91" w:rsidP="009A3F91">
      <w:pPr>
        <w:pStyle w:val="a9"/>
        <w:jc w:val="center"/>
        <w:rPr>
          <w:bCs/>
          <w:spacing w:val="20"/>
          <w:sz w:val="28"/>
        </w:rPr>
      </w:pPr>
    </w:p>
    <w:p w14:paraId="04DEF8C6" w14:textId="77777777" w:rsidR="00653EA3" w:rsidRPr="000F3293" w:rsidRDefault="00653EA3" w:rsidP="00653EA3">
      <w:pPr>
        <w:pStyle w:val="a9"/>
        <w:spacing w:line="360" w:lineRule="auto"/>
        <w:jc w:val="center"/>
        <w:rPr>
          <w:b/>
          <w:bCs/>
          <w:spacing w:val="20"/>
          <w:u w:val="single"/>
        </w:rPr>
      </w:pPr>
    </w:p>
    <w:p w14:paraId="3B81856E" w14:textId="77777777" w:rsidR="00653EA3" w:rsidRPr="000F3293" w:rsidRDefault="00653EA3" w:rsidP="00653EA3">
      <w:pPr>
        <w:pStyle w:val="a9"/>
        <w:spacing w:line="360" w:lineRule="auto"/>
        <w:jc w:val="center"/>
        <w:rPr>
          <w:b/>
          <w:bCs/>
          <w:spacing w:val="20"/>
          <w:u w:val="single"/>
        </w:rPr>
      </w:pPr>
    </w:p>
    <w:p w14:paraId="26DED371" w14:textId="78FA75AE" w:rsidR="00653EA3" w:rsidRPr="000F3293" w:rsidRDefault="00653EA3" w:rsidP="00653EA3">
      <w:pPr>
        <w:pStyle w:val="a9"/>
        <w:spacing w:line="360" w:lineRule="auto"/>
        <w:jc w:val="center"/>
        <w:rPr>
          <w:b/>
          <w:bCs/>
          <w:spacing w:val="20"/>
          <w:u w:val="single"/>
        </w:rPr>
      </w:pPr>
      <w:r w:rsidRPr="000F3293">
        <w:rPr>
          <w:b/>
          <w:bCs/>
          <w:spacing w:val="20"/>
          <w:u w:val="single"/>
        </w:rPr>
        <w:t>ΔΙΠΛΩΜΑΤΙΚΗ ΕΡΓΑΣΙΑ</w:t>
      </w:r>
    </w:p>
    <w:p w14:paraId="4D6256B7" w14:textId="77777777" w:rsidR="00653EA3" w:rsidRPr="000F3293" w:rsidRDefault="00653EA3" w:rsidP="00653EA3">
      <w:pPr>
        <w:pStyle w:val="a9"/>
        <w:spacing w:line="360" w:lineRule="auto"/>
        <w:rPr>
          <w:b/>
          <w:bCs/>
          <w:spacing w:val="20"/>
        </w:rPr>
      </w:pPr>
    </w:p>
    <w:p w14:paraId="62FB0C34" w14:textId="77777777" w:rsidR="00653EA3" w:rsidRPr="000F3293" w:rsidRDefault="00653EA3" w:rsidP="00653EA3">
      <w:pPr>
        <w:pStyle w:val="a9"/>
        <w:spacing w:line="360" w:lineRule="auto"/>
        <w:jc w:val="center"/>
        <w:rPr>
          <w:b/>
          <w:bCs/>
          <w:spacing w:val="20"/>
        </w:rPr>
      </w:pPr>
    </w:p>
    <w:p w14:paraId="0DBEF7B8" w14:textId="36B07A06" w:rsidR="009A3F91" w:rsidRPr="000F3293" w:rsidRDefault="00653EA3" w:rsidP="00653EA3">
      <w:pPr>
        <w:pStyle w:val="a9"/>
        <w:spacing w:line="360" w:lineRule="auto"/>
        <w:jc w:val="center"/>
        <w:rPr>
          <w:bCs/>
          <w:spacing w:val="20"/>
          <w:sz w:val="28"/>
        </w:rPr>
      </w:pPr>
      <w:r w:rsidRPr="000F3293">
        <w:rPr>
          <w:b/>
          <w:bCs/>
          <w:spacing w:val="20"/>
        </w:rPr>
        <w:t>Πολιτιστική Διπλωματία Και Επαναπατρισμός Πολιτιστικών Αγαθών. Συγκριτική Μελέτη Των Γλυπτών Του Παρθενώνα Και Των Μπρούτζινων Του Μπενίν</w:t>
      </w:r>
    </w:p>
    <w:p w14:paraId="06DBF0C3" w14:textId="4A0F7002" w:rsidR="009A3F91" w:rsidRPr="000F3293" w:rsidRDefault="009A3F91" w:rsidP="009A3F91">
      <w:pPr>
        <w:pStyle w:val="a9"/>
        <w:jc w:val="center"/>
        <w:rPr>
          <w:spacing w:val="20"/>
          <w:sz w:val="28"/>
        </w:rPr>
      </w:pPr>
    </w:p>
    <w:p w14:paraId="3EB01CC4" w14:textId="77777777" w:rsidR="009A3F91" w:rsidRPr="000F3293" w:rsidRDefault="009A3F91" w:rsidP="009A3F91">
      <w:pPr>
        <w:pStyle w:val="a9"/>
        <w:jc w:val="center"/>
        <w:rPr>
          <w:spacing w:val="20"/>
          <w:sz w:val="28"/>
        </w:rPr>
      </w:pPr>
    </w:p>
    <w:p w14:paraId="65442475" w14:textId="77777777" w:rsidR="009A3F91" w:rsidRPr="000F3293" w:rsidRDefault="009A3F91" w:rsidP="009A3F91">
      <w:pPr>
        <w:pStyle w:val="a9"/>
        <w:tabs>
          <w:tab w:val="clear" w:pos="4153"/>
          <w:tab w:val="clear" w:pos="8306"/>
        </w:tabs>
      </w:pPr>
    </w:p>
    <w:p w14:paraId="5E65EACF" w14:textId="3120F1A0" w:rsidR="00E9726E" w:rsidRPr="000F3293" w:rsidRDefault="00A94DAA" w:rsidP="00E9726E">
      <w:pPr>
        <w:pStyle w:val="a9"/>
        <w:tabs>
          <w:tab w:val="clear" w:pos="4153"/>
          <w:tab w:val="clear" w:pos="8306"/>
        </w:tabs>
        <w:jc w:val="center"/>
      </w:pPr>
      <w:r w:rsidRPr="000F3293">
        <w:t xml:space="preserve">ΗΛΙΑΣ ΚΑΛΥΒΑΣ </w:t>
      </w:r>
    </w:p>
    <w:p w14:paraId="7358567C" w14:textId="77777777" w:rsidR="00A94DAA" w:rsidRPr="000F3293" w:rsidRDefault="00A94DAA" w:rsidP="00A94DAA">
      <w:pPr>
        <w:pStyle w:val="a9"/>
        <w:tabs>
          <w:tab w:val="clear" w:pos="4153"/>
          <w:tab w:val="clear" w:pos="8306"/>
        </w:tabs>
      </w:pPr>
    </w:p>
    <w:p w14:paraId="72726265" w14:textId="77777777" w:rsidR="009A3F91" w:rsidRPr="000F3293" w:rsidRDefault="009A3F91" w:rsidP="009A3F91">
      <w:pPr>
        <w:pStyle w:val="a9"/>
        <w:tabs>
          <w:tab w:val="clear" w:pos="4153"/>
          <w:tab w:val="clear" w:pos="8306"/>
        </w:tabs>
        <w:jc w:val="right"/>
      </w:pPr>
    </w:p>
    <w:p w14:paraId="60CA9863" w14:textId="77777777" w:rsidR="009A3F91" w:rsidRPr="000F3293" w:rsidRDefault="009A3F91" w:rsidP="009A3F91">
      <w:pPr>
        <w:pStyle w:val="a9"/>
        <w:tabs>
          <w:tab w:val="clear" w:pos="4153"/>
          <w:tab w:val="clear" w:pos="8306"/>
        </w:tabs>
      </w:pPr>
    </w:p>
    <w:p w14:paraId="6A000316" w14:textId="57E24C22" w:rsidR="009A3F91" w:rsidRPr="000F3293" w:rsidRDefault="00A94DAA" w:rsidP="00653EA3">
      <w:pPr>
        <w:pStyle w:val="a9"/>
        <w:tabs>
          <w:tab w:val="clear" w:pos="4153"/>
          <w:tab w:val="clear" w:pos="8306"/>
        </w:tabs>
        <w:jc w:val="center"/>
      </w:pPr>
      <w:r w:rsidRPr="000F3293">
        <w:t>ΓΕΩΡΓΙΟΣ ΑΛΕΞΟΠΟΥΛΟΣ</w:t>
      </w:r>
    </w:p>
    <w:p w14:paraId="27B034B0" w14:textId="77777777" w:rsidR="00A94DAA" w:rsidRPr="000F3293" w:rsidRDefault="00A94DAA" w:rsidP="009A3F91">
      <w:pPr>
        <w:pStyle w:val="a9"/>
        <w:tabs>
          <w:tab w:val="clear" w:pos="4153"/>
          <w:tab w:val="clear" w:pos="8306"/>
        </w:tabs>
        <w:jc w:val="center"/>
      </w:pPr>
    </w:p>
    <w:p w14:paraId="1D8355EF" w14:textId="77777777" w:rsidR="009A3F91" w:rsidRPr="000F3293" w:rsidRDefault="009A3F91" w:rsidP="009A3F91">
      <w:pPr>
        <w:pStyle w:val="a9"/>
        <w:tabs>
          <w:tab w:val="clear" w:pos="4153"/>
          <w:tab w:val="clear" w:pos="8306"/>
        </w:tabs>
        <w:jc w:val="center"/>
      </w:pPr>
    </w:p>
    <w:p w14:paraId="38762993" w14:textId="5CE984DF" w:rsidR="00CD13AD" w:rsidRPr="000F3293" w:rsidRDefault="00CD13AD" w:rsidP="00A94DAA">
      <w:pPr>
        <w:pStyle w:val="a9"/>
        <w:tabs>
          <w:tab w:val="clear" w:pos="4153"/>
          <w:tab w:val="clear" w:pos="8306"/>
        </w:tabs>
        <w:rPr>
          <w:sz w:val="20"/>
        </w:rPr>
      </w:pPr>
    </w:p>
    <w:p w14:paraId="059B4EBC" w14:textId="77777777" w:rsidR="00A94DAA" w:rsidRPr="000F3293" w:rsidRDefault="00A94DAA" w:rsidP="00A94DAA">
      <w:pPr>
        <w:pStyle w:val="a9"/>
        <w:tabs>
          <w:tab w:val="clear" w:pos="4153"/>
          <w:tab w:val="clear" w:pos="8306"/>
        </w:tabs>
        <w:rPr>
          <w:sz w:val="20"/>
        </w:rPr>
      </w:pPr>
    </w:p>
    <w:p w14:paraId="4A8D1C0C" w14:textId="77777777" w:rsidR="0043019D" w:rsidRPr="000F3293" w:rsidRDefault="0043019D" w:rsidP="0043019D">
      <w:pPr>
        <w:pStyle w:val="a9"/>
        <w:tabs>
          <w:tab w:val="clear" w:pos="4153"/>
          <w:tab w:val="clear" w:pos="8306"/>
        </w:tabs>
        <w:jc w:val="center"/>
        <w:rPr>
          <w:sz w:val="20"/>
        </w:rPr>
      </w:pPr>
    </w:p>
    <w:p w14:paraId="589C9CCA" w14:textId="77777777" w:rsidR="00653EA3" w:rsidRPr="000F3293" w:rsidRDefault="00653EA3" w:rsidP="00653EA3">
      <w:pPr>
        <w:pStyle w:val="a9"/>
        <w:spacing w:line="360" w:lineRule="auto"/>
        <w:jc w:val="center"/>
        <w:rPr>
          <w:sz w:val="28"/>
          <w:szCs w:val="28"/>
        </w:rPr>
      </w:pPr>
      <w:r w:rsidRPr="000F3293">
        <w:rPr>
          <w:sz w:val="28"/>
          <w:szCs w:val="28"/>
        </w:rPr>
        <w:t>ΠΑΤΡΑ</w:t>
      </w:r>
    </w:p>
    <w:p w14:paraId="0B37C5D5" w14:textId="77777777" w:rsidR="00653EA3" w:rsidRPr="000F3293" w:rsidRDefault="00653EA3" w:rsidP="00653EA3">
      <w:pPr>
        <w:pStyle w:val="a9"/>
        <w:spacing w:line="360" w:lineRule="auto"/>
        <w:jc w:val="center"/>
        <w:rPr>
          <w:sz w:val="28"/>
          <w:szCs w:val="28"/>
        </w:rPr>
      </w:pPr>
      <w:r w:rsidRPr="000F3293">
        <w:rPr>
          <w:sz w:val="28"/>
          <w:szCs w:val="28"/>
        </w:rPr>
        <w:t>Σεπτέμβριος, 2026</w:t>
      </w:r>
    </w:p>
    <w:p w14:paraId="37EBEFE8" w14:textId="77777777" w:rsidR="0043019D" w:rsidRPr="000F3293" w:rsidRDefault="0043019D" w:rsidP="0043019D">
      <w:pPr>
        <w:pStyle w:val="a9"/>
        <w:tabs>
          <w:tab w:val="clear" w:pos="4153"/>
          <w:tab w:val="clear" w:pos="8306"/>
        </w:tabs>
        <w:jc w:val="center"/>
      </w:pPr>
    </w:p>
    <w:p w14:paraId="58EBCAB1" w14:textId="77777777" w:rsidR="00653EA3" w:rsidRPr="000F3293" w:rsidRDefault="00653EA3" w:rsidP="0043019D">
      <w:pPr>
        <w:pStyle w:val="a9"/>
        <w:tabs>
          <w:tab w:val="clear" w:pos="4153"/>
          <w:tab w:val="clear" w:pos="8306"/>
        </w:tabs>
        <w:jc w:val="center"/>
      </w:pPr>
    </w:p>
    <w:p w14:paraId="6E9E3152" w14:textId="77777777" w:rsidR="00653EA3" w:rsidRPr="000F3293" w:rsidRDefault="00653EA3" w:rsidP="0043019D">
      <w:pPr>
        <w:pStyle w:val="a9"/>
        <w:tabs>
          <w:tab w:val="clear" w:pos="4153"/>
          <w:tab w:val="clear" w:pos="8306"/>
        </w:tabs>
        <w:jc w:val="center"/>
      </w:pPr>
    </w:p>
    <w:p w14:paraId="038D3EA7" w14:textId="77777777" w:rsidR="00653EA3" w:rsidRPr="000F3293" w:rsidRDefault="00653EA3" w:rsidP="0043019D">
      <w:pPr>
        <w:pStyle w:val="a9"/>
        <w:tabs>
          <w:tab w:val="clear" w:pos="4153"/>
          <w:tab w:val="clear" w:pos="8306"/>
        </w:tabs>
        <w:jc w:val="center"/>
      </w:pPr>
    </w:p>
    <w:p w14:paraId="27C5C1A1" w14:textId="77777777" w:rsidR="00653EA3" w:rsidRPr="000F3293" w:rsidRDefault="00653EA3" w:rsidP="0043019D">
      <w:pPr>
        <w:pStyle w:val="a9"/>
        <w:tabs>
          <w:tab w:val="clear" w:pos="4153"/>
          <w:tab w:val="clear" w:pos="8306"/>
        </w:tabs>
        <w:jc w:val="center"/>
      </w:pPr>
    </w:p>
    <w:p w14:paraId="5DF85548" w14:textId="77777777" w:rsidR="00653EA3" w:rsidRPr="000F3293" w:rsidRDefault="00653EA3" w:rsidP="0043019D">
      <w:pPr>
        <w:pStyle w:val="a9"/>
        <w:tabs>
          <w:tab w:val="clear" w:pos="4153"/>
          <w:tab w:val="clear" w:pos="8306"/>
        </w:tabs>
        <w:jc w:val="center"/>
      </w:pPr>
    </w:p>
    <w:p w14:paraId="7DB351E4" w14:textId="77777777" w:rsidR="00653EA3" w:rsidRPr="000F3293" w:rsidRDefault="00653EA3" w:rsidP="0043019D">
      <w:pPr>
        <w:pStyle w:val="a9"/>
        <w:tabs>
          <w:tab w:val="clear" w:pos="4153"/>
          <w:tab w:val="clear" w:pos="8306"/>
        </w:tabs>
        <w:jc w:val="center"/>
      </w:pPr>
    </w:p>
    <w:p w14:paraId="356FEB6B" w14:textId="77777777" w:rsidR="00653EA3" w:rsidRPr="000F3293" w:rsidRDefault="00653EA3" w:rsidP="0043019D">
      <w:pPr>
        <w:pStyle w:val="a9"/>
        <w:tabs>
          <w:tab w:val="clear" w:pos="4153"/>
          <w:tab w:val="clear" w:pos="8306"/>
        </w:tabs>
        <w:jc w:val="center"/>
      </w:pPr>
    </w:p>
    <w:p w14:paraId="7B0BCD97" w14:textId="77777777" w:rsidR="00653EA3" w:rsidRPr="000F3293" w:rsidRDefault="00653EA3" w:rsidP="0043019D">
      <w:pPr>
        <w:pStyle w:val="a9"/>
        <w:tabs>
          <w:tab w:val="clear" w:pos="4153"/>
          <w:tab w:val="clear" w:pos="8306"/>
        </w:tabs>
        <w:jc w:val="center"/>
      </w:pPr>
    </w:p>
    <w:p w14:paraId="64B44DCF" w14:textId="77777777" w:rsidR="00653EA3" w:rsidRPr="000F3293" w:rsidRDefault="00653EA3" w:rsidP="0043019D">
      <w:pPr>
        <w:pStyle w:val="a9"/>
        <w:tabs>
          <w:tab w:val="clear" w:pos="4153"/>
          <w:tab w:val="clear" w:pos="8306"/>
        </w:tabs>
        <w:jc w:val="center"/>
      </w:pPr>
    </w:p>
    <w:p w14:paraId="7939289B" w14:textId="77777777" w:rsidR="00653EA3" w:rsidRPr="000F3293" w:rsidRDefault="00653EA3" w:rsidP="0043019D">
      <w:pPr>
        <w:pStyle w:val="a9"/>
        <w:tabs>
          <w:tab w:val="clear" w:pos="4153"/>
          <w:tab w:val="clear" w:pos="8306"/>
        </w:tabs>
        <w:jc w:val="center"/>
      </w:pPr>
    </w:p>
    <w:p w14:paraId="7A041C75" w14:textId="77777777" w:rsidR="00653EA3" w:rsidRPr="000F3293" w:rsidRDefault="00653EA3" w:rsidP="0043019D">
      <w:pPr>
        <w:pStyle w:val="a9"/>
        <w:tabs>
          <w:tab w:val="clear" w:pos="4153"/>
          <w:tab w:val="clear" w:pos="8306"/>
        </w:tabs>
        <w:jc w:val="center"/>
      </w:pPr>
    </w:p>
    <w:p w14:paraId="2661D740" w14:textId="77777777" w:rsidR="00653EA3" w:rsidRPr="000F3293" w:rsidRDefault="00653EA3" w:rsidP="0043019D">
      <w:pPr>
        <w:pStyle w:val="a9"/>
        <w:tabs>
          <w:tab w:val="clear" w:pos="4153"/>
          <w:tab w:val="clear" w:pos="8306"/>
        </w:tabs>
        <w:jc w:val="center"/>
      </w:pPr>
    </w:p>
    <w:p w14:paraId="37A99362" w14:textId="77777777" w:rsidR="00653EA3" w:rsidRPr="000F3293" w:rsidRDefault="00653EA3" w:rsidP="0043019D">
      <w:pPr>
        <w:pStyle w:val="a9"/>
        <w:tabs>
          <w:tab w:val="clear" w:pos="4153"/>
          <w:tab w:val="clear" w:pos="8306"/>
        </w:tabs>
        <w:jc w:val="center"/>
      </w:pPr>
    </w:p>
    <w:p w14:paraId="2E445EF2" w14:textId="77777777" w:rsidR="00653EA3" w:rsidRPr="000F3293" w:rsidRDefault="00653EA3" w:rsidP="0043019D">
      <w:pPr>
        <w:pStyle w:val="a9"/>
        <w:tabs>
          <w:tab w:val="clear" w:pos="4153"/>
          <w:tab w:val="clear" w:pos="8306"/>
        </w:tabs>
        <w:jc w:val="center"/>
      </w:pPr>
    </w:p>
    <w:p w14:paraId="1F28352A" w14:textId="77777777" w:rsidR="00653EA3" w:rsidRPr="000F3293" w:rsidRDefault="00653EA3" w:rsidP="0043019D">
      <w:pPr>
        <w:pStyle w:val="a9"/>
        <w:tabs>
          <w:tab w:val="clear" w:pos="4153"/>
          <w:tab w:val="clear" w:pos="8306"/>
        </w:tabs>
        <w:jc w:val="center"/>
      </w:pPr>
    </w:p>
    <w:p w14:paraId="755FFAEA" w14:textId="77777777" w:rsidR="00653EA3" w:rsidRPr="000F3293" w:rsidRDefault="00653EA3" w:rsidP="0043019D">
      <w:pPr>
        <w:pStyle w:val="a9"/>
        <w:tabs>
          <w:tab w:val="clear" w:pos="4153"/>
          <w:tab w:val="clear" w:pos="8306"/>
        </w:tabs>
        <w:jc w:val="center"/>
      </w:pPr>
    </w:p>
    <w:p w14:paraId="28FE34C8" w14:textId="77777777" w:rsidR="00653EA3" w:rsidRPr="000F3293" w:rsidRDefault="00653EA3" w:rsidP="0043019D">
      <w:pPr>
        <w:pStyle w:val="a9"/>
        <w:tabs>
          <w:tab w:val="clear" w:pos="4153"/>
          <w:tab w:val="clear" w:pos="8306"/>
        </w:tabs>
        <w:jc w:val="center"/>
      </w:pPr>
    </w:p>
    <w:p w14:paraId="798D9D92" w14:textId="77777777" w:rsidR="00653EA3" w:rsidRPr="000F3293" w:rsidRDefault="00653EA3" w:rsidP="0043019D">
      <w:pPr>
        <w:pStyle w:val="a9"/>
        <w:tabs>
          <w:tab w:val="clear" w:pos="4153"/>
          <w:tab w:val="clear" w:pos="8306"/>
        </w:tabs>
        <w:jc w:val="center"/>
      </w:pPr>
    </w:p>
    <w:p w14:paraId="408C88F3" w14:textId="77777777" w:rsidR="00653EA3" w:rsidRPr="000F3293" w:rsidRDefault="00653EA3" w:rsidP="0043019D">
      <w:pPr>
        <w:pStyle w:val="a9"/>
        <w:tabs>
          <w:tab w:val="clear" w:pos="4153"/>
          <w:tab w:val="clear" w:pos="8306"/>
        </w:tabs>
        <w:jc w:val="center"/>
      </w:pPr>
    </w:p>
    <w:p w14:paraId="309D45CA" w14:textId="77777777" w:rsidR="00653EA3" w:rsidRPr="000F3293" w:rsidRDefault="00653EA3" w:rsidP="0043019D">
      <w:pPr>
        <w:pStyle w:val="a9"/>
        <w:tabs>
          <w:tab w:val="clear" w:pos="4153"/>
          <w:tab w:val="clear" w:pos="8306"/>
        </w:tabs>
        <w:jc w:val="center"/>
      </w:pPr>
    </w:p>
    <w:p w14:paraId="2266F0A6" w14:textId="77777777" w:rsidR="00653EA3" w:rsidRPr="000F3293" w:rsidRDefault="00653EA3" w:rsidP="0043019D">
      <w:pPr>
        <w:pStyle w:val="a9"/>
        <w:tabs>
          <w:tab w:val="clear" w:pos="4153"/>
          <w:tab w:val="clear" w:pos="8306"/>
        </w:tabs>
        <w:jc w:val="center"/>
      </w:pPr>
    </w:p>
    <w:p w14:paraId="20B65E06" w14:textId="77777777" w:rsidR="00653EA3" w:rsidRPr="000F3293" w:rsidRDefault="00653EA3" w:rsidP="0043019D">
      <w:pPr>
        <w:pStyle w:val="a9"/>
        <w:tabs>
          <w:tab w:val="clear" w:pos="4153"/>
          <w:tab w:val="clear" w:pos="8306"/>
        </w:tabs>
        <w:jc w:val="center"/>
      </w:pPr>
    </w:p>
    <w:p w14:paraId="6C30D5DC" w14:textId="77777777" w:rsidR="00653EA3" w:rsidRPr="000F3293" w:rsidRDefault="00653EA3" w:rsidP="0043019D">
      <w:pPr>
        <w:pStyle w:val="a9"/>
        <w:tabs>
          <w:tab w:val="clear" w:pos="4153"/>
          <w:tab w:val="clear" w:pos="8306"/>
        </w:tabs>
        <w:jc w:val="center"/>
      </w:pPr>
    </w:p>
    <w:p w14:paraId="35B76E9F" w14:textId="77777777" w:rsidR="00653EA3" w:rsidRPr="000F3293" w:rsidRDefault="00653EA3" w:rsidP="0043019D">
      <w:pPr>
        <w:pStyle w:val="a9"/>
        <w:tabs>
          <w:tab w:val="clear" w:pos="4153"/>
          <w:tab w:val="clear" w:pos="8306"/>
        </w:tabs>
        <w:jc w:val="center"/>
      </w:pPr>
    </w:p>
    <w:p w14:paraId="11945CD3" w14:textId="77777777" w:rsidR="00653EA3" w:rsidRPr="000F3293" w:rsidRDefault="00653EA3" w:rsidP="0043019D">
      <w:pPr>
        <w:pStyle w:val="a9"/>
        <w:tabs>
          <w:tab w:val="clear" w:pos="4153"/>
          <w:tab w:val="clear" w:pos="8306"/>
        </w:tabs>
        <w:jc w:val="center"/>
      </w:pPr>
    </w:p>
    <w:p w14:paraId="063BBB1F" w14:textId="77777777" w:rsidR="00653EA3" w:rsidRPr="000F3293" w:rsidRDefault="00653EA3" w:rsidP="0043019D">
      <w:pPr>
        <w:pStyle w:val="a9"/>
        <w:tabs>
          <w:tab w:val="clear" w:pos="4153"/>
          <w:tab w:val="clear" w:pos="8306"/>
        </w:tabs>
        <w:jc w:val="center"/>
      </w:pPr>
    </w:p>
    <w:p w14:paraId="094C6EE0" w14:textId="77777777" w:rsidR="00653EA3" w:rsidRPr="000F3293" w:rsidRDefault="00653EA3" w:rsidP="0043019D">
      <w:pPr>
        <w:pStyle w:val="a9"/>
        <w:tabs>
          <w:tab w:val="clear" w:pos="4153"/>
          <w:tab w:val="clear" w:pos="8306"/>
        </w:tabs>
        <w:jc w:val="center"/>
      </w:pPr>
    </w:p>
    <w:p w14:paraId="2571ED30" w14:textId="77777777" w:rsidR="00653EA3" w:rsidRPr="000F3293" w:rsidRDefault="00653EA3" w:rsidP="0043019D">
      <w:pPr>
        <w:pStyle w:val="a9"/>
        <w:tabs>
          <w:tab w:val="clear" w:pos="4153"/>
          <w:tab w:val="clear" w:pos="8306"/>
        </w:tabs>
        <w:jc w:val="center"/>
      </w:pPr>
    </w:p>
    <w:p w14:paraId="3E14C47F" w14:textId="77777777" w:rsidR="00653EA3" w:rsidRPr="000F3293" w:rsidRDefault="00653EA3" w:rsidP="0043019D">
      <w:pPr>
        <w:pStyle w:val="a9"/>
        <w:tabs>
          <w:tab w:val="clear" w:pos="4153"/>
          <w:tab w:val="clear" w:pos="8306"/>
        </w:tabs>
        <w:jc w:val="center"/>
      </w:pPr>
    </w:p>
    <w:p w14:paraId="7CF5EE9B" w14:textId="77777777" w:rsidR="00653EA3" w:rsidRPr="000F3293" w:rsidRDefault="00653EA3" w:rsidP="0043019D">
      <w:pPr>
        <w:pStyle w:val="a9"/>
        <w:tabs>
          <w:tab w:val="clear" w:pos="4153"/>
          <w:tab w:val="clear" w:pos="8306"/>
        </w:tabs>
        <w:jc w:val="center"/>
      </w:pPr>
    </w:p>
    <w:p w14:paraId="16A80F71" w14:textId="77777777" w:rsidR="00653EA3" w:rsidRPr="000F3293" w:rsidRDefault="00653EA3" w:rsidP="0043019D">
      <w:pPr>
        <w:pStyle w:val="a9"/>
        <w:tabs>
          <w:tab w:val="clear" w:pos="4153"/>
          <w:tab w:val="clear" w:pos="8306"/>
        </w:tabs>
        <w:jc w:val="center"/>
      </w:pPr>
    </w:p>
    <w:p w14:paraId="6AEECE15" w14:textId="77777777" w:rsidR="00653EA3" w:rsidRPr="000F3293" w:rsidRDefault="00653EA3" w:rsidP="0043019D">
      <w:pPr>
        <w:pStyle w:val="a9"/>
        <w:tabs>
          <w:tab w:val="clear" w:pos="4153"/>
          <w:tab w:val="clear" w:pos="8306"/>
        </w:tabs>
        <w:jc w:val="center"/>
      </w:pPr>
    </w:p>
    <w:p w14:paraId="4AD8EF3B" w14:textId="77777777" w:rsidR="00653EA3" w:rsidRPr="000F3293" w:rsidRDefault="00653EA3" w:rsidP="0043019D">
      <w:pPr>
        <w:pStyle w:val="a9"/>
        <w:tabs>
          <w:tab w:val="clear" w:pos="4153"/>
          <w:tab w:val="clear" w:pos="8306"/>
        </w:tabs>
        <w:jc w:val="center"/>
      </w:pPr>
    </w:p>
    <w:p w14:paraId="08BA8D11" w14:textId="77777777" w:rsidR="00653EA3" w:rsidRPr="000F3293" w:rsidRDefault="00653EA3" w:rsidP="0043019D">
      <w:pPr>
        <w:pStyle w:val="a9"/>
        <w:tabs>
          <w:tab w:val="clear" w:pos="4153"/>
          <w:tab w:val="clear" w:pos="8306"/>
        </w:tabs>
        <w:jc w:val="center"/>
      </w:pPr>
    </w:p>
    <w:p w14:paraId="359619DA" w14:textId="495EDBD4" w:rsidR="00653EA3" w:rsidRPr="000F3293" w:rsidRDefault="00653EA3" w:rsidP="00653EA3">
      <w:pPr>
        <w:spacing w:after="120" w:line="276" w:lineRule="auto"/>
        <w:jc w:val="both"/>
        <w:rPr>
          <w:sz w:val="20"/>
          <w:szCs w:val="28"/>
        </w:rPr>
      </w:pPr>
      <w:r w:rsidRPr="000F3293">
        <w:rPr>
          <w:sz w:val="20"/>
          <w:szCs w:val="28"/>
        </w:rPr>
        <w:t>Η παρούσα εργασία αποτελεί πνευματική ιδιοκτησία του Ηλία Καλύβα («συγγραφέας/δημιουργός») που την εκπόνησε. Στο πλαίσιο της πολιτικής ανοικτής πρόσβασης ο συγγραφέας/δημιουργός εκχωρεί στο ΕΑΠ, μη αποκλειστική άδεια χρήσης του δικαιώματος αναπαραγωγής, προσαρμογής, δημόσιου δανεισμού, παρουσίασης στο κοινό και ψηφιακής διάχυσής τους διεθνώς, σε ηλεκτρονική μορφή και σε οποιοδήποτε μέσο, για διδακτικούς και ερευνητικούς σκοπούς, άνευ ανταλλάγματος και για όλο το χρόνο διάρκειας των δικαιωμάτων πνευματικής ιδιοκτησίας. Η ανοικτή πρόσβαση στο πλήρες κείμενο για μελέτη και ανάγνωση δεν σημαίνει καθ’ οιονδήποτε τρόπο παραχώρηση δικαιωμάτων διανοητικής ιδιοκτησίας του συγγραφέα/δημιουργού ούτε επιτρέπει την αναπαραγωγή, αναδημοσίευση, αντιγραφή, αποθήκευση, πώληση, εμπορική χρήση, μετάδοση, διανομή, έκδοση, εκτέλεση, «μεταφόρτωση» (</w:t>
      </w:r>
      <w:proofErr w:type="spellStart"/>
      <w:r w:rsidRPr="000F3293">
        <w:rPr>
          <w:sz w:val="20"/>
          <w:szCs w:val="28"/>
        </w:rPr>
        <w:t>downloading</w:t>
      </w:r>
      <w:proofErr w:type="spellEnd"/>
      <w:r w:rsidRPr="000F3293">
        <w:rPr>
          <w:sz w:val="20"/>
          <w:szCs w:val="28"/>
        </w:rPr>
        <w:t>), «ανάρτηση» (</w:t>
      </w:r>
      <w:proofErr w:type="spellStart"/>
      <w:r w:rsidRPr="000F3293">
        <w:rPr>
          <w:sz w:val="20"/>
          <w:szCs w:val="28"/>
        </w:rPr>
        <w:t>uploading</w:t>
      </w:r>
      <w:proofErr w:type="spellEnd"/>
      <w:r w:rsidRPr="000F3293">
        <w:rPr>
          <w:sz w:val="20"/>
          <w:szCs w:val="28"/>
        </w:rPr>
        <w:t>), μετάφραση, τροποποίηση με οποιονδήποτε τρόπο, τμηματικά ή περιληπτικά της εργασίας, χωρίς τη ρητή προηγούμενη έγγραφη συναίνεση του συγγραφέα/δημιουργού. Ο συγγραφέας/δημιουργός διατηρεί το σύνολο των ηθικών και περιουσιακών του δικαιωμάτων.</w:t>
      </w:r>
    </w:p>
    <w:p w14:paraId="49BDB54F" w14:textId="77777777" w:rsidR="00653EA3" w:rsidRPr="000F3293" w:rsidRDefault="00653EA3" w:rsidP="0043019D">
      <w:pPr>
        <w:pStyle w:val="a9"/>
        <w:tabs>
          <w:tab w:val="clear" w:pos="4153"/>
          <w:tab w:val="clear" w:pos="8306"/>
        </w:tabs>
        <w:jc w:val="center"/>
      </w:pPr>
    </w:p>
    <w:p w14:paraId="5B0EB728" w14:textId="77777777" w:rsidR="00653EA3" w:rsidRPr="000F3293" w:rsidRDefault="00653EA3" w:rsidP="00653EA3">
      <w:pPr>
        <w:pStyle w:val="a9"/>
        <w:tabs>
          <w:tab w:val="clear" w:pos="4153"/>
          <w:tab w:val="clear" w:pos="8306"/>
        </w:tabs>
      </w:pPr>
    </w:p>
    <w:p w14:paraId="42357825" w14:textId="77777777" w:rsidR="00653EA3" w:rsidRPr="000F3293" w:rsidRDefault="00653EA3" w:rsidP="0043019D">
      <w:pPr>
        <w:pStyle w:val="a9"/>
        <w:tabs>
          <w:tab w:val="clear" w:pos="4153"/>
          <w:tab w:val="clear" w:pos="8306"/>
        </w:tabs>
        <w:jc w:val="center"/>
      </w:pPr>
    </w:p>
    <w:p w14:paraId="6E95EE22" w14:textId="77777777" w:rsidR="00653EA3" w:rsidRPr="000F3293" w:rsidRDefault="00653EA3" w:rsidP="00653EA3">
      <w:pPr>
        <w:pStyle w:val="a9"/>
        <w:spacing w:line="360" w:lineRule="auto"/>
        <w:jc w:val="center"/>
      </w:pPr>
      <w:r w:rsidRPr="000F3293">
        <w:rPr>
          <w:noProof/>
        </w:rPr>
        <w:lastRenderedPageBreak/>
        <w:drawing>
          <wp:inline distT="0" distB="0" distL="0" distR="0" wp14:anchorId="56D31470" wp14:editId="7AC3DFDB">
            <wp:extent cx="662940" cy="685800"/>
            <wp:effectExtent l="0" t="0" r="3810" b="0"/>
            <wp:docPr id="5569848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r="62366"/>
                    <a:stretch>
                      <a:fillRect/>
                    </a:stretch>
                  </pic:blipFill>
                  <pic:spPr bwMode="auto">
                    <a:xfrm>
                      <a:off x="0" y="0"/>
                      <a:ext cx="662940" cy="685800"/>
                    </a:xfrm>
                    <a:prstGeom prst="rect">
                      <a:avLst/>
                    </a:prstGeom>
                    <a:noFill/>
                    <a:ln>
                      <a:noFill/>
                    </a:ln>
                  </pic:spPr>
                </pic:pic>
              </a:graphicData>
            </a:graphic>
          </wp:inline>
        </w:drawing>
      </w:r>
    </w:p>
    <w:p w14:paraId="08DD7370" w14:textId="77777777" w:rsidR="00653EA3" w:rsidRPr="000F3293" w:rsidRDefault="00653EA3" w:rsidP="00653EA3">
      <w:pPr>
        <w:pStyle w:val="a9"/>
        <w:spacing w:line="360" w:lineRule="auto"/>
        <w:jc w:val="center"/>
      </w:pPr>
    </w:p>
    <w:p w14:paraId="32A23514" w14:textId="77777777" w:rsidR="00653EA3" w:rsidRPr="000F3293" w:rsidRDefault="00653EA3" w:rsidP="00653EA3">
      <w:pPr>
        <w:pStyle w:val="a9"/>
        <w:spacing w:line="360" w:lineRule="auto"/>
        <w:jc w:val="center"/>
        <w:rPr>
          <w:b/>
          <w:bCs/>
          <w:spacing w:val="20"/>
        </w:rPr>
      </w:pPr>
      <w:r w:rsidRPr="000F3293">
        <w:rPr>
          <w:b/>
          <w:bCs/>
          <w:spacing w:val="20"/>
        </w:rPr>
        <w:t>ΕΛΛΗΝΙΚΟ ΑΝΟΙΚΤΟ ΠΑΝΕΠΙΣΤΗΜΙΟ</w:t>
      </w:r>
    </w:p>
    <w:p w14:paraId="13DB0C3F" w14:textId="77777777" w:rsidR="00653EA3" w:rsidRPr="000F3293" w:rsidRDefault="00653EA3" w:rsidP="00653EA3">
      <w:pPr>
        <w:pStyle w:val="a9"/>
        <w:spacing w:line="360" w:lineRule="auto"/>
        <w:jc w:val="center"/>
        <w:rPr>
          <w:b/>
          <w:bCs/>
          <w:spacing w:val="20"/>
        </w:rPr>
      </w:pPr>
    </w:p>
    <w:p w14:paraId="55718768" w14:textId="77777777" w:rsidR="00653EA3" w:rsidRPr="000F3293" w:rsidRDefault="00653EA3" w:rsidP="00653EA3">
      <w:pPr>
        <w:pStyle w:val="a9"/>
        <w:spacing w:line="360" w:lineRule="auto"/>
        <w:jc w:val="center"/>
        <w:rPr>
          <w:b/>
          <w:bCs/>
          <w:spacing w:val="20"/>
        </w:rPr>
      </w:pPr>
      <w:r w:rsidRPr="000F3293">
        <w:rPr>
          <w:b/>
          <w:bCs/>
          <w:spacing w:val="20"/>
        </w:rPr>
        <w:t>ΣΧΟΛΗ ΚΟΙΝΩΝΙΚΩΝ ΕΠΙΣΤΗΜΩΝ</w:t>
      </w:r>
    </w:p>
    <w:p w14:paraId="7F64754C" w14:textId="77777777" w:rsidR="00653EA3" w:rsidRPr="000F3293" w:rsidRDefault="00653EA3" w:rsidP="00653EA3">
      <w:pPr>
        <w:pStyle w:val="a9"/>
        <w:spacing w:line="360" w:lineRule="auto"/>
        <w:rPr>
          <w:b/>
          <w:bCs/>
          <w:spacing w:val="20"/>
        </w:rPr>
      </w:pPr>
    </w:p>
    <w:p w14:paraId="4BF4E09E" w14:textId="77777777" w:rsidR="00653EA3" w:rsidRPr="000F3293" w:rsidRDefault="00653EA3" w:rsidP="00653EA3">
      <w:pPr>
        <w:pStyle w:val="a9"/>
        <w:spacing w:line="360" w:lineRule="auto"/>
        <w:jc w:val="center"/>
        <w:rPr>
          <w:b/>
          <w:bCs/>
          <w:spacing w:val="20"/>
        </w:rPr>
      </w:pPr>
    </w:p>
    <w:p w14:paraId="0C59D88E" w14:textId="77777777" w:rsidR="00653EA3" w:rsidRPr="000F3293" w:rsidRDefault="00653EA3" w:rsidP="00653EA3">
      <w:pPr>
        <w:pStyle w:val="a9"/>
        <w:spacing w:line="360" w:lineRule="auto"/>
        <w:jc w:val="center"/>
        <w:rPr>
          <w:spacing w:val="20"/>
        </w:rPr>
      </w:pPr>
      <w:r w:rsidRPr="000F3293">
        <w:rPr>
          <w:spacing w:val="20"/>
        </w:rPr>
        <w:t>ΔΙΟΙΚΗΣΗ ΠΟΛΙΤΙΣΜΙΚΩΝ ΜΟΝΑΔΩΝ</w:t>
      </w:r>
    </w:p>
    <w:p w14:paraId="31BD1233" w14:textId="77777777" w:rsidR="00653EA3" w:rsidRPr="000F3293" w:rsidRDefault="00653EA3" w:rsidP="00531BBB">
      <w:pPr>
        <w:pStyle w:val="a9"/>
        <w:spacing w:line="360" w:lineRule="auto"/>
        <w:rPr>
          <w:b/>
          <w:bCs/>
          <w:spacing w:val="20"/>
          <w:u w:val="single"/>
        </w:rPr>
      </w:pPr>
    </w:p>
    <w:p w14:paraId="3D700020" w14:textId="77777777" w:rsidR="00653EA3" w:rsidRPr="000F3293" w:rsidRDefault="00653EA3" w:rsidP="00653EA3">
      <w:pPr>
        <w:pStyle w:val="a9"/>
        <w:spacing w:line="360" w:lineRule="auto"/>
        <w:jc w:val="center"/>
        <w:rPr>
          <w:b/>
          <w:bCs/>
          <w:spacing w:val="20"/>
          <w:u w:val="single"/>
        </w:rPr>
      </w:pPr>
    </w:p>
    <w:p w14:paraId="0CC19E0D" w14:textId="77777777" w:rsidR="00653EA3" w:rsidRPr="000F3293" w:rsidRDefault="00653EA3" w:rsidP="00653EA3">
      <w:pPr>
        <w:pStyle w:val="a9"/>
        <w:spacing w:line="360" w:lineRule="auto"/>
        <w:jc w:val="center"/>
        <w:rPr>
          <w:b/>
          <w:bCs/>
          <w:spacing w:val="20"/>
          <w:u w:val="single"/>
        </w:rPr>
      </w:pPr>
      <w:r w:rsidRPr="000F3293">
        <w:rPr>
          <w:b/>
          <w:bCs/>
          <w:spacing w:val="20"/>
          <w:u w:val="single"/>
        </w:rPr>
        <w:t>ΔΙΠΛΩΜΑΤΙΚΗ ΕΡΓΑΣΙΑ</w:t>
      </w:r>
    </w:p>
    <w:p w14:paraId="7AD904B4" w14:textId="77777777" w:rsidR="00653EA3" w:rsidRPr="000F3293" w:rsidRDefault="00653EA3" w:rsidP="00653EA3">
      <w:pPr>
        <w:pStyle w:val="a9"/>
        <w:spacing w:line="360" w:lineRule="auto"/>
        <w:rPr>
          <w:b/>
          <w:bCs/>
          <w:spacing w:val="20"/>
        </w:rPr>
      </w:pPr>
    </w:p>
    <w:p w14:paraId="72965F21" w14:textId="77777777" w:rsidR="00653EA3" w:rsidRPr="000F3293" w:rsidRDefault="00653EA3" w:rsidP="00653EA3">
      <w:pPr>
        <w:pStyle w:val="a9"/>
        <w:spacing w:line="360" w:lineRule="auto"/>
        <w:jc w:val="center"/>
        <w:rPr>
          <w:b/>
          <w:bCs/>
          <w:spacing w:val="20"/>
        </w:rPr>
      </w:pPr>
    </w:p>
    <w:p w14:paraId="7631BC22" w14:textId="7B8CD909" w:rsidR="00653EA3" w:rsidRPr="000F3293" w:rsidRDefault="00653EA3" w:rsidP="00531BBB">
      <w:pPr>
        <w:pStyle w:val="a9"/>
        <w:spacing w:line="360" w:lineRule="auto"/>
        <w:jc w:val="center"/>
        <w:rPr>
          <w:bCs/>
          <w:spacing w:val="20"/>
          <w:sz w:val="28"/>
        </w:rPr>
      </w:pPr>
      <w:r w:rsidRPr="000F3293">
        <w:rPr>
          <w:b/>
          <w:bCs/>
          <w:spacing w:val="20"/>
        </w:rPr>
        <w:t>Πολιτιστική Διπλωματία Και Επαναπατρισμός Πολιτιστικών Αγαθών. Συγκριτική Μελέτη Των Γλυπτών Του Παρθενώνα Και Των Μπρούτζινων Του Μπενίν</w:t>
      </w:r>
    </w:p>
    <w:p w14:paraId="6D0B5C16" w14:textId="77777777" w:rsidR="00653EA3" w:rsidRPr="000F3293" w:rsidRDefault="00653EA3" w:rsidP="00653EA3">
      <w:pPr>
        <w:pStyle w:val="a9"/>
        <w:jc w:val="center"/>
        <w:rPr>
          <w:spacing w:val="20"/>
          <w:sz w:val="28"/>
        </w:rPr>
      </w:pPr>
    </w:p>
    <w:p w14:paraId="67D89C05" w14:textId="77777777" w:rsidR="00653EA3" w:rsidRPr="000F3293" w:rsidRDefault="00653EA3" w:rsidP="00653EA3">
      <w:pPr>
        <w:pStyle w:val="a9"/>
        <w:tabs>
          <w:tab w:val="clear" w:pos="4153"/>
          <w:tab w:val="clear" w:pos="8306"/>
        </w:tabs>
      </w:pPr>
    </w:p>
    <w:p w14:paraId="78DE86CF" w14:textId="0A33AD52" w:rsidR="00531BBB" w:rsidRPr="000F3293" w:rsidRDefault="00653EA3" w:rsidP="00531BBB">
      <w:pPr>
        <w:pStyle w:val="a9"/>
        <w:tabs>
          <w:tab w:val="clear" w:pos="4153"/>
          <w:tab w:val="clear" w:pos="8306"/>
        </w:tabs>
        <w:jc w:val="center"/>
      </w:pPr>
      <w:r w:rsidRPr="000F3293">
        <w:t xml:space="preserve">ΗΛΙΑΣ ΚΑΛΥΒΑΣ </w:t>
      </w:r>
    </w:p>
    <w:p w14:paraId="2AEADA46" w14:textId="77777777" w:rsidR="00531BBB" w:rsidRPr="000F3293" w:rsidRDefault="00531BBB" w:rsidP="00653EA3">
      <w:pPr>
        <w:pStyle w:val="a9"/>
        <w:tabs>
          <w:tab w:val="clear" w:pos="4153"/>
          <w:tab w:val="clear" w:pos="8306"/>
        </w:tabs>
        <w:jc w:val="center"/>
      </w:pPr>
    </w:p>
    <w:p w14:paraId="4EDF6F1D" w14:textId="77777777" w:rsidR="00653EA3" w:rsidRPr="000F3293" w:rsidRDefault="00653EA3" w:rsidP="00653EA3">
      <w:pPr>
        <w:pStyle w:val="a9"/>
        <w:tabs>
          <w:tab w:val="clear" w:pos="4153"/>
          <w:tab w:val="clear" w:pos="8306"/>
        </w:tabs>
      </w:pPr>
    </w:p>
    <w:p w14:paraId="6CB68260" w14:textId="77777777" w:rsidR="00653EA3" w:rsidRPr="000F3293" w:rsidRDefault="00653EA3" w:rsidP="00653EA3">
      <w:pPr>
        <w:pStyle w:val="a9"/>
        <w:tabs>
          <w:tab w:val="clear" w:pos="4153"/>
          <w:tab w:val="clear" w:pos="8306"/>
        </w:tabs>
        <w:jc w:val="right"/>
      </w:pPr>
    </w:p>
    <w:p w14:paraId="7348A120" w14:textId="77777777" w:rsidR="00653EA3" w:rsidRPr="000F3293" w:rsidRDefault="00653EA3" w:rsidP="00531BBB">
      <w:pPr>
        <w:spacing w:after="120" w:line="360" w:lineRule="auto"/>
        <w:jc w:val="center"/>
      </w:pPr>
      <w:r w:rsidRPr="000F3293">
        <w:t>Επιτροπή Επίβλεψης Πτυχιακής / Διπλωματικής Εργασίας</w:t>
      </w:r>
    </w:p>
    <w:tbl>
      <w:tblPr>
        <w:tblW w:w="9242" w:type="dxa"/>
        <w:tblLook w:val="04A0" w:firstRow="1" w:lastRow="0" w:firstColumn="1" w:lastColumn="0" w:noHBand="0" w:noVBand="1"/>
      </w:tblPr>
      <w:tblGrid>
        <w:gridCol w:w="4621"/>
        <w:gridCol w:w="4621"/>
      </w:tblGrid>
      <w:tr w:rsidR="00653EA3" w:rsidRPr="000F3293" w14:paraId="3797D02E" w14:textId="77777777" w:rsidTr="00531BBB">
        <w:trPr>
          <w:trHeight w:val="1803"/>
        </w:trPr>
        <w:tc>
          <w:tcPr>
            <w:tcW w:w="4621" w:type="dxa"/>
          </w:tcPr>
          <w:p w14:paraId="445A2CCE" w14:textId="60504BC7" w:rsidR="00653EA3" w:rsidRPr="000F3293" w:rsidRDefault="00653EA3" w:rsidP="00531BBB">
            <w:pPr>
              <w:spacing w:after="120" w:line="360" w:lineRule="auto"/>
              <w:jc w:val="center"/>
              <w:rPr>
                <w:i/>
              </w:rPr>
            </w:pPr>
            <w:r w:rsidRPr="000F3293">
              <w:t>Επιβλέπ</w:t>
            </w:r>
            <w:r w:rsidR="000F3293" w:rsidRPr="000F3293">
              <w:t>ων</w:t>
            </w:r>
            <w:r w:rsidRPr="000F3293">
              <w:t xml:space="preserve"> Καθηγ</w:t>
            </w:r>
            <w:r w:rsidR="000F3293" w:rsidRPr="000F3293">
              <w:t>ητής</w:t>
            </w:r>
            <w:r w:rsidRPr="000F3293">
              <w:rPr>
                <w:i/>
              </w:rPr>
              <w:t>:</w:t>
            </w:r>
          </w:p>
          <w:p w14:paraId="5275AF21" w14:textId="4A993272" w:rsidR="00653EA3" w:rsidRPr="000F3293" w:rsidRDefault="00653EA3" w:rsidP="00531BBB">
            <w:pPr>
              <w:pStyle w:val="a9"/>
              <w:tabs>
                <w:tab w:val="clear" w:pos="4153"/>
                <w:tab w:val="clear" w:pos="8306"/>
              </w:tabs>
              <w:spacing w:line="480" w:lineRule="auto"/>
              <w:jc w:val="center"/>
            </w:pPr>
            <w:r w:rsidRPr="000F3293">
              <w:t>«ΑΛΕΞΟΠΟΥΛΟΣ</w:t>
            </w:r>
            <w:r w:rsidR="00531BBB" w:rsidRPr="000F3293">
              <w:t xml:space="preserve"> ΓΕΩΡΓΙΟΣ</w:t>
            </w:r>
            <w:r w:rsidRPr="000F3293">
              <w:t>»</w:t>
            </w:r>
          </w:p>
          <w:p w14:paraId="07CC6C18" w14:textId="02424403" w:rsidR="00653EA3" w:rsidRPr="000F3293" w:rsidRDefault="00653EA3" w:rsidP="00531BBB">
            <w:pPr>
              <w:spacing w:after="120" w:line="480" w:lineRule="auto"/>
              <w:jc w:val="center"/>
            </w:pPr>
            <w:r w:rsidRPr="000F3293">
              <w:t>«ΚΑΘΗΓΗΤ</w:t>
            </w:r>
            <w:r w:rsidR="00531BBB" w:rsidRPr="000F3293">
              <w:t>ΗΣ</w:t>
            </w:r>
            <w:r w:rsidRPr="000F3293">
              <w:t>, ΕΑΠ»</w:t>
            </w:r>
          </w:p>
          <w:p w14:paraId="485B85CC" w14:textId="77777777" w:rsidR="00653EA3" w:rsidRPr="000F3293" w:rsidRDefault="00653EA3" w:rsidP="00531BBB">
            <w:pPr>
              <w:spacing w:after="120" w:line="360" w:lineRule="auto"/>
              <w:jc w:val="center"/>
              <w:rPr>
                <w:i/>
              </w:rPr>
            </w:pPr>
          </w:p>
        </w:tc>
        <w:tc>
          <w:tcPr>
            <w:tcW w:w="4621" w:type="dxa"/>
          </w:tcPr>
          <w:p w14:paraId="7A28BBF9" w14:textId="42A9C2A7" w:rsidR="00653EA3" w:rsidRPr="000F3293" w:rsidRDefault="00653EA3" w:rsidP="00531BBB">
            <w:pPr>
              <w:spacing w:after="120" w:line="360" w:lineRule="auto"/>
              <w:jc w:val="center"/>
            </w:pPr>
            <w:r w:rsidRPr="000F3293">
              <w:t>Συν-Επιβλέπ</w:t>
            </w:r>
            <w:r w:rsidR="000F3293" w:rsidRPr="000F3293">
              <w:t>ων</w:t>
            </w:r>
            <w:r w:rsidRPr="000F3293">
              <w:t xml:space="preserve"> Καθηγ</w:t>
            </w:r>
            <w:r w:rsidR="000F3293" w:rsidRPr="000F3293">
              <w:t>ητής</w:t>
            </w:r>
            <w:r w:rsidRPr="000F3293">
              <w:t>:</w:t>
            </w:r>
          </w:p>
          <w:p w14:paraId="07C029A2" w14:textId="29039F70" w:rsidR="00653EA3" w:rsidRPr="000F3293" w:rsidRDefault="00653EA3" w:rsidP="00531BBB">
            <w:pPr>
              <w:spacing w:after="120" w:line="360" w:lineRule="auto"/>
              <w:jc w:val="center"/>
            </w:pPr>
            <w:r w:rsidRPr="000F3293">
              <w:t>«</w:t>
            </w:r>
            <w:r w:rsidR="00531BBB" w:rsidRPr="000F3293">
              <w:t>ΠΑΠΟΥΛΙΑΣ</w:t>
            </w:r>
            <w:r w:rsidRPr="000F3293">
              <w:t xml:space="preserve"> </w:t>
            </w:r>
            <w:r w:rsidR="00531BBB" w:rsidRPr="000F3293">
              <w:t>ΕΥΑΓΓΕΛΟΣ</w:t>
            </w:r>
            <w:r w:rsidRPr="000F3293">
              <w:t>»</w:t>
            </w:r>
          </w:p>
          <w:p w14:paraId="7209EE29" w14:textId="73F0C107" w:rsidR="00653EA3" w:rsidRPr="000F3293" w:rsidRDefault="00653EA3" w:rsidP="00531BBB">
            <w:pPr>
              <w:spacing w:after="120" w:line="360" w:lineRule="auto"/>
              <w:jc w:val="center"/>
            </w:pPr>
            <w:r w:rsidRPr="000F3293">
              <w:t>«ΚΑΘΗΓΗΤ</w:t>
            </w:r>
            <w:r w:rsidR="00531BBB" w:rsidRPr="000F3293">
              <w:t>ΗΣ</w:t>
            </w:r>
            <w:r w:rsidRPr="000F3293">
              <w:t>, ΕΑΠ»</w:t>
            </w:r>
          </w:p>
          <w:p w14:paraId="02029196" w14:textId="77777777" w:rsidR="00653EA3" w:rsidRPr="000F3293" w:rsidRDefault="00653EA3" w:rsidP="00531BBB">
            <w:pPr>
              <w:spacing w:after="120" w:line="360" w:lineRule="auto"/>
              <w:jc w:val="center"/>
            </w:pPr>
          </w:p>
        </w:tc>
      </w:tr>
    </w:tbl>
    <w:p w14:paraId="12392A9B" w14:textId="77777777" w:rsidR="00531BBB" w:rsidRPr="000F3293" w:rsidRDefault="00531BBB" w:rsidP="00531BBB">
      <w:pPr>
        <w:spacing w:after="120" w:line="360" w:lineRule="auto"/>
        <w:rPr>
          <w:sz w:val="28"/>
        </w:rPr>
      </w:pPr>
    </w:p>
    <w:p w14:paraId="263BDCC7" w14:textId="77777777" w:rsidR="00531BBB" w:rsidRPr="000F3293" w:rsidRDefault="00531BBB" w:rsidP="00531BBB">
      <w:pPr>
        <w:spacing w:after="120" w:line="360" w:lineRule="auto"/>
        <w:jc w:val="center"/>
        <w:rPr>
          <w:sz w:val="28"/>
        </w:rPr>
      </w:pPr>
      <w:r w:rsidRPr="000F3293">
        <w:rPr>
          <w:sz w:val="28"/>
        </w:rPr>
        <w:t>Πάτρα, Σεπτέμβριος  2026</w:t>
      </w:r>
    </w:p>
    <w:p w14:paraId="74F193D4" w14:textId="77777777" w:rsidR="00531BBB" w:rsidRPr="000F3293" w:rsidRDefault="00531BBB" w:rsidP="00531BBB">
      <w:pPr>
        <w:spacing w:after="120" w:line="360" w:lineRule="auto"/>
        <w:rPr>
          <w:sz w:val="28"/>
        </w:rPr>
      </w:pPr>
    </w:p>
    <w:p w14:paraId="6620A450" w14:textId="77777777" w:rsidR="00531BBB" w:rsidRPr="000F3293" w:rsidRDefault="00531BBB" w:rsidP="00531BBB">
      <w:pPr>
        <w:pStyle w:val="2"/>
        <w:rPr>
          <w:rFonts w:ascii="Times New Roman" w:hAnsi="Times New Roman" w:cs="Times New Roman"/>
          <w:b/>
          <w:bCs/>
          <w:color w:val="auto"/>
          <w:sz w:val="28"/>
          <w:szCs w:val="28"/>
        </w:rPr>
      </w:pPr>
      <w:bookmarkStart w:id="0" w:name="_Toc233054696"/>
      <w:bookmarkStart w:id="1" w:name="_Toc233154553"/>
      <w:r w:rsidRPr="000F3293">
        <w:rPr>
          <w:rFonts w:ascii="Times New Roman" w:hAnsi="Times New Roman" w:cs="Times New Roman"/>
          <w:b/>
          <w:bCs/>
          <w:color w:val="auto"/>
          <w:sz w:val="28"/>
          <w:szCs w:val="28"/>
        </w:rPr>
        <w:lastRenderedPageBreak/>
        <w:t>Ευχαριστίες</w:t>
      </w:r>
      <w:bookmarkEnd w:id="0"/>
      <w:bookmarkEnd w:id="1"/>
    </w:p>
    <w:p w14:paraId="0D4C911E" w14:textId="77777777" w:rsidR="00531BBB" w:rsidRPr="000F3293" w:rsidRDefault="00531BBB" w:rsidP="00531BBB">
      <w:pPr>
        <w:spacing w:after="120" w:line="276" w:lineRule="auto"/>
        <w:jc w:val="both"/>
        <w:rPr>
          <w:szCs w:val="28"/>
        </w:rPr>
      </w:pPr>
    </w:p>
    <w:p w14:paraId="343185E3" w14:textId="7099900F" w:rsidR="00531BBB" w:rsidRPr="000F3293" w:rsidRDefault="00531BBB" w:rsidP="00531BBB">
      <w:pPr>
        <w:spacing w:after="120" w:line="360" w:lineRule="auto"/>
        <w:jc w:val="both"/>
        <w:rPr>
          <w:szCs w:val="28"/>
        </w:rPr>
      </w:pPr>
      <w:r w:rsidRPr="000F3293">
        <w:rPr>
          <w:szCs w:val="28"/>
        </w:rPr>
        <w:t>Με την ολοκλήρωση της παρούσας διπλωματικής εργασίας, αισθάνομαι την ανάγκη να εκφράσω τις ειλικρινείς μου ευχαριστίες σε όλους όσοι συνέβαλαν, με την καθοδήγηση, τη στήριξη και την παρουσία τους, στην ολοκλήρωση αυτής της απαιτητικής ακαδημαϊκής διαδρομής.</w:t>
      </w:r>
    </w:p>
    <w:p w14:paraId="33B2C5B1" w14:textId="3167A7B5" w:rsidR="00531BBB" w:rsidRPr="000F3293" w:rsidRDefault="00531BBB" w:rsidP="00531BBB">
      <w:pPr>
        <w:spacing w:after="120" w:line="360" w:lineRule="auto"/>
        <w:jc w:val="both"/>
        <w:rPr>
          <w:szCs w:val="28"/>
        </w:rPr>
      </w:pPr>
      <w:r w:rsidRPr="000F3293">
        <w:rPr>
          <w:szCs w:val="28"/>
        </w:rPr>
        <w:t>Πρωτίστως, θα ήθελα να ευχαριστήσω θερμά τον επιβλέποντα καθηγητή μου, κ. Γεώργιο Αλεξόπουλο, Καθηγητή του Ελληνικού Ανοικτού Πανεπιστημίου, για την επιστημονική του καθοδήγηση, την ουσιαστική υποστήριξη, τις εύστοχες παρατηρήσεις και την πολύτιμη συμβολή του σε όλα τα στάδια εκπόνησης της εργασίας. Η μεθοδικότητα, η ακαδημαϊκή του εμπειρία και η διαρκής ενθάρρυνσή του αποτέλεσαν σημαντικό στήριγμα για την ολοκλήρωση της ερευνητικής προσπάθειας.</w:t>
      </w:r>
    </w:p>
    <w:p w14:paraId="5D8D8DD6" w14:textId="5B9F48B6" w:rsidR="00531BBB" w:rsidRPr="000F3293" w:rsidRDefault="00531BBB" w:rsidP="00531BBB">
      <w:pPr>
        <w:spacing w:after="120" w:line="360" w:lineRule="auto"/>
        <w:jc w:val="both"/>
        <w:rPr>
          <w:szCs w:val="28"/>
        </w:rPr>
      </w:pPr>
      <w:r w:rsidRPr="000F3293">
        <w:rPr>
          <w:szCs w:val="28"/>
        </w:rPr>
        <w:t xml:space="preserve">Ευχαριστώ, επίσης, ιδιαιτέρως τον </w:t>
      </w:r>
      <w:proofErr w:type="spellStart"/>
      <w:r w:rsidRPr="000F3293">
        <w:rPr>
          <w:szCs w:val="28"/>
        </w:rPr>
        <w:t>συνεπιβλέποντα</w:t>
      </w:r>
      <w:proofErr w:type="spellEnd"/>
      <w:r w:rsidRPr="000F3293">
        <w:rPr>
          <w:szCs w:val="28"/>
        </w:rPr>
        <w:t xml:space="preserve"> καθηγητή μου, κ. Ευάγγελο </w:t>
      </w:r>
      <w:proofErr w:type="spellStart"/>
      <w:r w:rsidRPr="000F3293">
        <w:rPr>
          <w:szCs w:val="28"/>
        </w:rPr>
        <w:t>Παπουλιά</w:t>
      </w:r>
      <w:proofErr w:type="spellEnd"/>
      <w:r w:rsidRPr="000F3293">
        <w:rPr>
          <w:szCs w:val="28"/>
        </w:rPr>
        <w:t>, Καθηγητή του Ελληνικού Ανοικτού Πανεπιστημίου, για το ενδιαφέρον, την εποικοδομητική του στάση και την ακαδημαϊκή του συμβολή στην πορεία της εργασίας.</w:t>
      </w:r>
    </w:p>
    <w:p w14:paraId="4FAFA17D" w14:textId="08B5616F" w:rsidR="00531BBB" w:rsidRPr="000F3293" w:rsidRDefault="00531BBB" w:rsidP="00531BBB">
      <w:pPr>
        <w:spacing w:after="120" w:line="360" w:lineRule="auto"/>
        <w:jc w:val="both"/>
        <w:rPr>
          <w:szCs w:val="28"/>
        </w:rPr>
      </w:pPr>
      <w:r w:rsidRPr="000F3293">
        <w:rPr>
          <w:szCs w:val="28"/>
        </w:rPr>
        <w:t>Ιδιαίτερες ευχαριστίες οφείλω στην οικογένειά μου, για την αγάπη, την κατανόηση, την υπομονή και την αδιάλειπτη ηθική στήριξη που μου προσέφερε σε όλη τη διάρκεια των σπουδών μου. Η παρουσία τους υπήρξε σταθερή πηγή δύναμης, αισιοδοξίας και επιμονής.</w:t>
      </w:r>
    </w:p>
    <w:p w14:paraId="4D67EFA2" w14:textId="1FD30A4F" w:rsidR="00531BBB" w:rsidRPr="000F3293" w:rsidRDefault="00531BBB" w:rsidP="00531BBB">
      <w:pPr>
        <w:spacing w:after="120" w:line="360" w:lineRule="auto"/>
        <w:jc w:val="both"/>
        <w:rPr>
          <w:szCs w:val="28"/>
        </w:rPr>
      </w:pPr>
      <w:r w:rsidRPr="000F3293">
        <w:rPr>
          <w:szCs w:val="28"/>
        </w:rPr>
        <w:t>Τέλος, ευχαριστώ όλους όσοι, άμεσα ή έμμεσα, στάθηκαν δίπλα μου και συνέβαλαν στην ολοκλήρωση της παρούσας εργασίας.</w:t>
      </w:r>
    </w:p>
    <w:p w14:paraId="03420651" w14:textId="77777777" w:rsidR="000F3293" w:rsidRDefault="000F3293" w:rsidP="00531BBB">
      <w:pPr>
        <w:spacing w:after="120" w:line="360" w:lineRule="auto"/>
        <w:jc w:val="center"/>
        <w:rPr>
          <w:szCs w:val="28"/>
        </w:rPr>
      </w:pPr>
    </w:p>
    <w:p w14:paraId="69F8E6B2" w14:textId="77777777" w:rsidR="000F3293" w:rsidRDefault="000F3293" w:rsidP="00531BBB">
      <w:pPr>
        <w:spacing w:after="120" w:line="360" w:lineRule="auto"/>
        <w:jc w:val="center"/>
        <w:rPr>
          <w:szCs w:val="28"/>
        </w:rPr>
      </w:pPr>
    </w:p>
    <w:p w14:paraId="678EBF8A" w14:textId="77777777" w:rsidR="000F3293" w:rsidRDefault="000F3293" w:rsidP="00531BBB">
      <w:pPr>
        <w:spacing w:after="120" w:line="360" w:lineRule="auto"/>
        <w:jc w:val="center"/>
        <w:rPr>
          <w:szCs w:val="28"/>
        </w:rPr>
      </w:pPr>
    </w:p>
    <w:p w14:paraId="286F0B5B" w14:textId="77777777" w:rsidR="000F3293" w:rsidRDefault="000F3293" w:rsidP="00531BBB">
      <w:pPr>
        <w:spacing w:after="120" w:line="360" w:lineRule="auto"/>
        <w:jc w:val="center"/>
        <w:rPr>
          <w:szCs w:val="28"/>
        </w:rPr>
      </w:pPr>
    </w:p>
    <w:p w14:paraId="508AE37A" w14:textId="77777777" w:rsidR="000F3293" w:rsidRDefault="000F3293" w:rsidP="00531BBB">
      <w:pPr>
        <w:spacing w:after="120" w:line="360" w:lineRule="auto"/>
        <w:jc w:val="center"/>
        <w:rPr>
          <w:szCs w:val="28"/>
        </w:rPr>
      </w:pPr>
    </w:p>
    <w:p w14:paraId="39FD1574" w14:textId="77777777" w:rsidR="000F3293" w:rsidRDefault="000F3293" w:rsidP="00531BBB">
      <w:pPr>
        <w:spacing w:after="120" w:line="360" w:lineRule="auto"/>
        <w:jc w:val="center"/>
        <w:rPr>
          <w:szCs w:val="28"/>
        </w:rPr>
      </w:pPr>
    </w:p>
    <w:p w14:paraId="7AF8B3F1" w14:textId="77777777" w:rsidR="000F3293" w:rsidRDefault="000F3293" w:rsidP="00531BBB">
      <w:pPr>
        <w:spacing w:after="120" w:line="360" w:lineRule="auto"/>
        <w:jc w:val="center"/>
        <w:rPr>
          <w:szCs w:val="28"/>
        </w:rPr>
      </w:pPr>
    </w:p>
    <w:p w14:paraId="7BBDDD3D" w14:textId="77777777" w:rsidR="000F3293" w:rsidRDefault="000F3293" w:rsidP="00531BBB">
      <w:pPr>
        <w:spacing w:after="120" w:line="360" w:lineRule="auto"/>
        <w:jc w:val="center"/>
        <w:rPr>
          <w:szCs w:val="28"/>
        </w:rPr>
      </w:pPr>
    </w:p>
    <w:p w14:paraId="533B6228" w14:textId="5297048E" w:rsidR="00531BBB" w:rsidRPr="000F3293" w:rsidRDefault="00531BBB" w:rsidP="000F3293">
      <w:pPr>
        <w:spacing w:after="120" w:line="360" w:lineRule="auto"/>
        <w:rPr>
          <w:sz w:val="28"/>
        </w:rPr>
        <w:sectPr w:rsidR="00531BBB" w:rsidRPr="000F3293" w:rsidSect="00531BBB">
          <w:headerReference w:type="default" r:id="rId9"/>
          <w:pgSz w:w="11906" w:h="16838"/>
          <w:pgMar w:top="1440" w:right="1440" w:bottom="1440" w:left="1440" w:header="720" w:footer="720" w:gutter="284"/>
          <w:cols w:space="708"/>
          <w:docGrid w:linePitch="360"/>
        </w:sectPr>
      </w:pPr>
      <w:r w:rsidRPr="000F3293">
        <w:rPr>
          <w:szCs w:val="28"/>
        </w:rPr>
        <w:t xml:space="preserve"> </w:t>
      </w:r>
    </w:p>
    <w:p w14:paraId="2825C040" w14:textId="28446DB3" w:rsidR="00CD13AD" w:rsidRPr="000F3293" w:rsidRDefault="0043019D" w:rsidP="001358B2">
      <w:pPr>
        <w:pStyle w:val="1"/>
      </w:pPr>
      <w:bookmarkStart w:id="2" w:name="_Toc233154554"/>
      <w:r w:rsidRPr="000F3293">
        <w:lastRenderedPageBreak/>
        <w:t>Περίληψη</w:t>
      </w:r>
      <w:bookmarkEnd w:id="2"/>
    </w:p>
    <w:p w14:paraId="6385BF85" w14:textId="668357A8" w:rsidR="0043019D" w:rsidRPr="000F3293" w:rsidRDefault="00512330" w:rsidP="0043019D">
      <w:pPr>
        <w:spacing w:line="360" w:lineRule="auto"/>
        <w:jc w:val="both"/>
      </w:pPr>
      <w:r w:rsidRPr="000F3293">
        <w:t xml:space="preserve">Η παρούσα διπλωματική εργασία εξετάζει το ζήτημα του επαναπατρισμού και της επιστροφής πολιτιστικών αγαθών μέσα από το πρίσμα της πολιτιστικής διπλωματίας, της μουσειακής διακυβέρνησης και της δημόσιας επικοινωνίας. Σκοπός της είναι να αναδείξει με ποιον τρόπο τα μουσεία δεν λειτουργούν απλώς ως χώροι φύλαξης και έκθεσης αντικειμένων, αλλά ως θεσμοί που διαμορφώνουν ενεργά θέσεις για την ιδιοκτησία, τη νομιμότητα, το δημόσιο όφελος και την πολιτιστική δικαιοσύνη. Η έρευνα εστιάζει συγκριτικά σε τρεις χαρακτηριστικές περιπτώσεις, το Μουσείο Ακρόπολης, το Βρετανικό Μουσείο και το Μουσείο </w:t>
      </w:r>
      <w:r w:rsidRPr="000F3293">
        <w:rPr>
          <w:lang w:val="en-US"/>
        </w:rPr>
        <w:t>Horniman</w:t>
      </w:r>
      <w:r w:rsidRPr="000F3293">
        <w:t>, τα οποία εκπροσωπούν τρεις διακριτές θεσμικές λογικές στο πεδίο των διεκδικήσεων επιστροφής.</w:t>
      </w:r>
    </w:p>
    <w:p w14:paraId="1D114FDF" w14:textId="77777777" w:rsidR="0043019D" w:rsidRPr="000F3293" w:rsidRDefault="0043019D" w:rsidP="0043019D">
      <w:pPr>
        <w:spacing w:line="360" w:lineRule="auto"/>
        <w:jc w:val="both"/>
      </w:pPr>
      <w:r w:rsidRPr="000F3293">
        <w:t xml:space="preserve">Μεθοδολογικά, η εργασία ακολουθεί ποιοτική και συγκριτική προσέγγιση με ανάλυση βιβλιογραφίας, θεσμικών κειμένων, νομοθετικών πλαισίων, ετήσιων εκθέσεων, δελτίων Τύπου και επίσημων δημόσιων παρεμβάσεων. Η ανάλυση οργανώνεται γύρω από τρεις βασικούς άξονες, το διεθνές και εθνικό νομικό πλαίσιο, τη μουσειακή διοίκηση και τη δημόσια επικοινωνία των σχετικών διεκδικήσεων. Ιδιαίτερη έμφαση δίνεται στη σύγκριση ανάμεσα στη γλώσσα της επανένωσης, που εκφράζεται κυρίως από το Μουσείο Ακρόπολης, στη γλώσσα της νόμιμης κτήσης και του οικουμενικού μουσείου, που εκφράζεται από το Βρετανικό Μουσείο, και στη γλώσσα της ηθικής επανόρθωσης και της συνεργατικής διακυβέρνησης, που αναδεικνύεται στην περίπτωση του </w:t>
      </w:r>
      <w:r w:rsidRPr="000F3293">
        <w:rPr>
          <w:lang w:val="en-US"/>
        </w:rPr>
        <w:t>Horniman</w:t>
      </w:r>
      <w:r w:rsidRPr="000F3293">
        <w:t>.</w:t>
      </w:r>
    </w:p>
    <w:p w14:paraId="3C31EFD5" w14:textId="77777777" w:rsidR="0043019D" w:rsidRPr="000F3293" w:rsidRDefault="0043019D" w:rsidP="0043019D">
      <w:pPr>
        <w:spacing w:line="360" w:lineRule="auto"/>
        <w:jc w:val="both"/>
      </w:pPr>
      <w:r w:rsidRPr="000F3293">
        <w:t xml:space="preserve">Τα βασικά συμπεράσματα δείχνουν ότι η πορεία ενός αιτήματος επιστροφής δεν εξαρτάται μόνο από την ιστορική προέλευση ή τη βία της αφαίρεσης ενός αντικειμένου, αλλά και από τη διοικητική αρχιτεκτονική του μουσείου, από τη δυνατότητα ερμηνείας του δικαίου και από την ικανότητα κάθε θεσμού να παράγει πειστική δημόσια αφήγηση. Το Μουσείο Ακρόπολης λειτουργεί ως χωρικό και ερμηνευτικό επιχείρημα υπέρ της μνημειακής ακεραιότητας. Το Βρετανικό Μουσείο διατηρεί τη θέση του μέσα από τη θεσμική αδράνεια, τη νομική θωράκιση και την επίκληση του δημόσιου οφέλους. Το Μουσείο </w:t>
      </w:r>
      <w:r w:rsidRPr="000F3293">
        <w:rPr>
          <w:lang w:val="en-US"/>
        </w:rPr>
        <w:t>Horniman</w:t>
      </w:r>
      <w:r w:rsidRPr="000F3293">
        <w:t>, αντιθέτως, δείχνει ότι η επιστροφή μπορεί να αποτελέσει οργανωμένη θεσμική πράξη, όταν συνδυάζονται πολιτική βούληση, ηθική λογοδοσία και διαδικαστική σαφήνεια. Η εργασία καταλήγει ότι το μέλλον των επιστροφών θα εξαρτηθεί από τη μετάβαση από τη λογική της αντιπαράθεσης στη λογική της διακυβέρνησης, όπου η πολιτιστική κληρονομιά θα αντιμετωπίζεται όχι μόνο ως αντικείμενο κατοχής αλλά και ως πεδίο δικαιοσύνης, συνεργασίας και αναδιανομής ερμηνευτικής αυθεντίας.</w:t>
      </w:r>
    </w:p>
    <w:p w14:paraId="399E725E" w14:textId="2802EB9A" w:rsidR="0043019D" w:rsidRPr="000F3293" w:rsidRDefault="0043019D" w:rsidP="0043019D">
      <w:pPr>
        <w:spacing w:line="360" w:lineRule="auto"/>
        <w:jc w:val="both"/>
      </w:pPr>
      <w:r w:rsidRPr="000F3293">
        <w:rPr>
          <w:b/>
          <w:bCs/>
        </w:rPr>
        <w:lastRenderedPageBreak/>
        <w:t>Λέξεις κλειδιά:</w:t>
      </w:r>
      <w:r w:rsidRPr="000F3293">
        <w:t xml:space="preserve"> Επαναπατρισμός πολιτιστικών αγαθών, επιστροφή πολιτιστικών αντικειμένων, πολιτιστική διπλωματία, μουσειακή διακυβέρνηση, Μουσείο Ακρόπολης, Βρετανικό Μουσείο, Μουσείο </w:t>
      </w:r>
      <w:r w:rsidRPr="000F3293">
        <w:rPr>
          <w:lang w:val="en-US"/>
        </w:rPr>
        <w:t>Horniman</w:t>
      </w:r>
      <w:r w:rsidRPr="000F3293">
        <w:t>, Γλυπτά του Παρθενώνα, Μπρούντζινα του Μπενίν, δημόσιο όφελος</w:t>
      </w:r>
    </w:p>
    <w:p w14:paraId="5D1BA598" w14:textId="77777777" w:rsidR="0043019D" w:rsidRPr="000F3293" w:rsidRDefault="0043019D" w:rsidP="0043019D">
      <w:pPr>
        <w:spacing w:line="360" w:lineRule="auto"/>
        <w:jc w:val="both"/>
      </w:pPr>
    </w:p>
    <w:p w14:paraId="31B6FDA2" w14:textId="77777777" w:rsidR="0043019D" w:rsidRPr="000F3293" w:rsidRDefault="0043019D" w:rsidP="0043019D">
      <w:pPr>
        <w:spacing w:line="360" w:lineRule="auto"/>
        <w:jc w:val="both"/>
      </w:pPr>
    </w:p>
    <w:p w14:paraId="5F32B8F6" w14:textId="77777777" w:rsidR="0043019D" w:rsidRPr="000F3293" w:rsidRDefault="0043019D" w:rsidP="0043019D">
      <w:pPr>
        <w:spacing w:line="360" w:lineRule="auto"/>
        <w:jc w:val="both"/>
      </w:pPr>
    </w:p>
    <w:p w14:paraId="59C16A57" w14:textId="77777777" w:rsidR="0043019D" w:rsidRPr="000F3293" w:rsidRDefault="0043019D" w:rsidP="0043019D">
      <w:pPr>
        <w:spacing w:line="360" w:lineRule="auto"/>
        <w:jc w:val="both"/>
      </w:pPr>
    </w:p>
    <w:p w14:paraId="29DC03F8" w14:textId="77777777" w:rsidR="0043019D" w:rsidRPr="000F3293" w:rsidRDefault="0043019D" w:rsidP="0043019D">
      <w:pPr>
        <w:spacing w:line="360" w:lineRule="auto"/>
        <w:jc w:val="both"/>
      </w:pPr>
    </w:p>
    <w:p w14:paraId="70086869" w14:textId="77777777" w:rsidR="0043019D" w:rsidRPr="000F3293" w:rsidRDefault="0043019D" w:rsidP="0043019D">
      <w:pPr>
        <w:spacing w:line="360" w:lineRule="auto"/>
        <w:jc w:val="both"/>
      </w:pPr>
    </w:p>
    <w:p w14:paraId="79223B1D" w14:textId="77777777" w:rsidR="0043019D" w:rsidRPr="000F3293" w:rsidRDefault="0043019D" w:rsidP="0043019D">
      <w:pPr>
        <w:spacing w:line="360" w:lineRule="auto"/>
        <w:jc w:val="both"/>
      </w:pPr>
    </w:p>
    <w:p w14:paraId="69AD92B6" w14:textId="77777777" w:rsidR="0043019D" w:rsidRPr="000F3293" w:rsidRDefault="0043019D" w:rsidP="0043019D">
      <w:pPr>
        <w:spacing w:line="360" w:lineRule="auto"/>
        <w:jc w:val="both"/>
      </w:pPr>
    </w:p>
    <w:p w14:paraId="7F66C900" w14:textId="77777777" w:rsidR="0043019D" w:rsidRPr="000F3293" w:rsidRDefault="0043019D" w:rsidP="0043019D">
      <w:pPr>
        <w:spacing w:line="360" w:lineRule="auto"/>
        <w:jc w:val="both"/>
      </w:pPr>
    </w:p>
    <w:p w14:paraId="3D98D10E" w14:textId="77777777" w:rsidR="0043019D" w:rsidRPr="000F3293" w:rsidRDefault="0043019D" w:rsidP="0043019D">
      <w:pPr>
        <w:spacing w:line="360" w:lineRule="auto"/>
        <w:jc w:val="both"/>
      </w:pPr>
    </w:p>
    <w:p w14:paraId="452F8024" w14:textId="77777777" w:rsidR="0043019D" w:rsidRPr="000F3293" w:rsidRDefault="0043019D" w:rsidP="0043019D">
      <w:pPr>
        <w:spacing w:line="360" w:lineRule="auto"/>
        <w:jc w:val="both"/>
      </w:pPr>
    </w:p>
    <w:p w14:paraId="0A73E7AD" w14:textId="77777777" w:rsidR="0043019D" w:rsidRPr="000F3293" w:rsidRDefault="0043019D" w:rsidP="0043019D">
      <w:pPr>
        <w:spacing w:line="360" w:lineRule="auto"/>
        <w:jc w:val="both"/>
      </w:pPr>
    </w:p>
    <w:p w14:paraId="52A669BF" w14:textId="77777777" w:rsidR="0043019D" w:rsidRPr="000F3293" w:rsidRDefault="0043019D" w:rsidP="0043019D">
      <w:pPr>
        <w:spacing w:line="360" w:lineRule="auto"/>
        <w:jc w:val="both"/>
      </w:pPr>
    </w:p>
    <w:p w14:paraId="3A972E3B" w14:textId="77777777" w:rsidR="0043019D" w:rsidRPr="000F3293" w:rsidRDefault="0043019D" w:rsidP="0043019D">
      <w:pPr>
        <w:spacing w:line="360" w:lineRule="auto"/>
        <w:jc w:val="both"/>
      </w:pPr>
    </w:p>
    <w:p w14:paraId="19B6DC4D" w14:textId="77777777" w:rsidR="0043019D" w:rsidRPr="000F3293" w:rsidRDefault="0043019D" w:rsidP="0043019D">
      <w:pPr>
        <w:spacing w:line="360" w:lineRule="auto"/>
        <w:jc w:val="both"/>
      </w:pPr>
    </w:p>
    <w:p w14:paraId="65A79C85" w14:textId="77777777" w:rsidR="0043019D" w:rsidRPr="000F3293" w:rsidRDefault="0043019D" w:rsidP="0043019D">
      <w:pPr>
        <w:spacing w:line="360" w:lineRule="auto"/>
        <w:jc w:val="both"/>
      </w:pPr>
    </w:p>
    <w:p w14:paraId="478D8766" w14:textId="77777777" w:rsidR="0043019D" w:rsidRPr="000F3293" w:rsidRDefault="0043019D" w:rsidP="0043019D">
      <w:pPr>
        <w:spacing w:line="360" w:lineRule="auto"/>
        <w:jc w:val="both"/>
      </w:pPr>
    </w:p>
    <w:p w14:paraId="0745C476" w14:textId="77777777" w:rsidR="0043019D" w:rsidRPr="000F3293" w:rsidRDefault="0043019D" w:rsidP="0043019D">
      <w:pPr>
        <w:spacing w:line="360" w:lineRule="auto"/>
        <w:jc w:val="both"/>
      </w:pPr>
    </w:p>
    <w:p w14:paraId="7C374226" w14:textId="77777777" w:rsidR="00531BBB" w:rsidRPr="000F3293" w:rsidRDefault="00531BBB" w:rsidP="0043019D">
      <w:pPr>
        <w:spacing w:line="360" w:lineRule="auto"/>
        <w:jc w:val="both"/>
      </w:pPr>
    </w:p>
    <w:p w14:paraId="465851F5" w14:textId="77777777" w:rsidR="00531BBB" w:rsidRPr="000F3293" w:rsidRDefault="00531BBB" w:rsidP="0043019D">
      <w:pPr>
        <w:spacing w:line="360" w:lineRule="auto"/>
        <w:jc w:val="both"/>
      </w:pPr>
    </w:p>
    <w:p w14:paraId="4E01F596" w14:textId="77777777" w:rsidR="00531BBB" w:rsidRPr="000F3293" w:rsidRDefault="00531BBB" w:rsidP="00414AA1">
      <w:pPr>
        <w:pStyle w:val="a9"/>
        <w:spacing w:line="360" w:lineRule="auto"/>
        <w:jc w:val="center"/>
        <w:rPr>
          <w:bCs/>
          <w:spacing w:val="20"/>
          <w:sz w:val="28"/>
          <w:szCs w:val="28"/>
          <w:lang w:val="en-US"/>
        </w:rPr>
      </w:pPr>
      <w:r w:rsidRPr="000F3293">
        <w:rPr>
          <w:b/>
          <w:bCs/>
          <w:spacing w:val="20"/>
          <w:sz w:val="28"/>
          <w:szCs w:val="28"/>
          <w:lang w:val="en-US"/>
        </w:rPr>
        <w:t>Cultural diplomacy and repatriation of cultural goods. Comparative study of the Parthenon sculptures and the bronzes of Benin</w:t>
      </w:r>
    </w:p>
    <w:p w14:paraId="210D00C7" w14:textId="77777777" w:rsidR="00531BBB" w:rsidRPr="000F3293" w:rsidRDefault="00531BBB" w:rsidP="00414AA1">
      <w:pPr>
        <w:pStyle w:val="a9"/>
        <w:tabs>
          <w:tab w:val="clear" w:pos="4153"/>
          <w:tab w:val="clear" w:pos="8306"/>
        </w:tabs>
        <w:rPr>
          <w:sz w:val="28"/>
          <w:szCs w:val="28"/>
          <w:lang w:val="en-US"/>
        </w:rPr>
      </w:pPr>
    </w:p>
    <w:p w14:paraId="0AE38D7D" w14:textId="77777777" w:rsidR="00531BBB" w:rsidRPr="000F3293" w:rsidRDefault="00531BBB" w:rsidP="00414AA1">
      <w:pPr>
        <w:pStyle w:val="a9"/>
        <w:tabs>
          <w:tab w:val="clear" w:pos="4153"/>
          <w:tab w:val="clear" w:pos="8306"/>
        </w:tabs>
        <w:jc w:val="center"/>
        <w:rPr>
          <w:sz w:val="28"/>
          <w:szCs w:val="28"/>
          <w:lang w:val="en-US"/>
        </w:rPr>
      </w:pPr>
      <w:r w:rsidRPr="000F3293">
        <w:rPr>
          <w:sz w:val="28"/>
          <w:szCs w:val="28"/>
          <w:lang w:val="en-US"/>
        </w:rPr>
        <w:t xml:space="preserve">ELIAS KALYVAS </w:t>
      </w:r>
    </w:p>
    <w:p w14:paraId="34882697" w14:textId="77777777" w:rsidR="00531BBB" w:rsidRPr="000F3293" w:rsidRDefault="00531BBB" w:rsidP="0043019D">
      <w:pPr>
        <w:spacing w:line="360" w:lineRule="auto"/>
        <w:jc w:val="both"/>
        <w:rPr>
          <w:lang w:val="en-US"/>
        </w:rPr>
      </w:pPr>
    </w:p>
    <w:p w14:paraId="688CBDC5" w14:textId="77777777" w:rsidR="0043019D" w:rsidRPr="000F3293" w:rsidRDefault="0043019D" w:rsidP="0043019D">
      <w:pPr>
        <w:spacing w:line="360" w:lineRule="auto"/>
        <w:jc w:val="both"/>
        <w:rPr>
          <w:lang w:val="en-US"/>
        </w:rPr>
      </w:pPr>
    </w:p>
    <w:p w14:paraId="62CAA5B4" w14:textId="28F7E82F" w:rsidR="0043019D" w:rsidRPr="000F3293" w:rsidRDefault="0043019D" w:rsidP="001358B2">
      <w:pPr>
        <w:pStyle w:val="1"/>
        <w:rPr>
          <w:lang w:val="en-US"/>
        </w:rPr>
      </w:pPr>
      <w:bookmarkStart w:id="3" w:name="_Toc233154555"/>
      <w:r w:rsidRPr="000F3293">
        <w:rPr>
          <w:lang w:val="en-US"/>
        </w:rPr>
        <w:t>Abstract</w:t>
      </w:r>
      <w:bookmarkEnd w:id="3"/>
    </w:p>
    <w:p w14:paraId="1343D6BD" w14:textId="77777777" w:rsidR="0043019D" w:rsidRPr="000F3293" w:rsidRDefault="0043019D" w:rsidP="0043019D">
      <w:pPr>
        <w:spacing w:line="360" w:lineRule="auto"/>
        <w:jc w:val="both"/>
        <w:rPr>
          <w:lang w:val="en-US"/>
        </w:rPr>
      </w:pPr>
      <w:r w:rsidRPr="000F3293">
        <w:rPr>
          <w:lang w:val="en-US"/>
        </w:rPr>
        <w:t>This dissertation examines the issue of repatriation and return of cultural property through the lenses of cultural diplomacy, museum governance, and public communication. Its main aim is to show that museums do not function merely as sites of custody and display, but as institutions that actively shape positions on ownership, legality, public benefit, and cultural justice. The study focuses comparatively on three emblematic cases, the Acropolis Museum, the British Museum, and the Horniman Museum, each of which represents a distinct institutional logic within the contemporary field of restitution and return claims.</w:t>
      </w:r>
    </w:p>
    <w:p w14:paraId="2C91DD2A" w14:textId="77777777" w:rsidR="0043019D" w:rsidRPr="000F3293" w:rsidRDefault="0043019D" w:rsidP="0043019D">
      <w:pPr>
        <w:spacing w:line="360" w:lineRule="auto"/>
        <w:jc w:val="both"/>
        <w:rPr>
          <w:lang w:val="en-US"/>
        </w:rPr>
      </w:pPr>
      <w:r w:rsidRPr="000F3293">
        <w:rPr>
          <w:lang w:val="en-US"/>
        </w:rPr>
        <w:t>Methodologically, the dissertation adopts a qualitative comparative approach based on the analysis of academic literature, institutional documents, legal frameworks, annual reports, press releases, and official public statements. The analysis is structured around three main axes, international and national legal regulation, museum administration, and the public communication of return claims. Particular emphasis is placed on the contrast between the language of reunification, mainly represented by the Acropolis Museum, the language of lawful acquisition and the universal museum, represented by the British Museum, and the language of moral repair and collaborative governance, exemplified by the Horniman case.</w:t>
      </w:r>
    </w:p>
    <w:p w14:paraId="7720E659" w14:textId="7EA0C128" w:rsidR="00CD13AD" w:rsidRPr="000F3293" w:rsidRDefault="0043019D" w:rsidP="0043019D">
      <w:pPr>
        <w:spacing w:line="360" w:lineRule="auto"/>
        <w:jc w:val="both"/>
        <w:rPr>
          <w:lang w:val="en-US"/>
        </w:rPr>
      </w:pPr>
      <w:r w:rsidRPr="000F3293">
        <w:rPr>
          <w:lang w:val="en-US"/>
        </w:rPr>
        <w:t xml:space="preserve">The main findings suggest that the trajectory of a return claim depends not only on the historical origin of an object or on the violence of its removal, but also on the administrative structure of the museum, the interpretive use of law, and the institution’s capacity to produce a persuasive public narrative. The Acropolis Museum functions as a spatial and interpretive argument for monumental </w:t>
      </w:r>
      <w:r w:rsidRPr="000F3293">
        <w:rPr>
          <w:lang w:val="en-US"/>
        </w:rPr>
        <w:lastRenderedPageBreak/>
        <w:t>integrity. The British Museum maintains its position through institutional inertia, legal protection, and the invocation of public benefit. The Horniman Museum, by contrast, demonstrates that return can become an organized institutional act when political will, moral accountability, and procedural clarity are combined. The dissertation concludes that the future of returns will depend on a shift from the logic of confrontation to the logic of governance, where cultural heritage is approached not only as an object of possession but also as a field of justice, cooperation, and redistribution of interpretive authority.</w:t>
      </w:r>
    </w:p>
    <w:p w14:paraId="2D468B26" w14:textId="25811672" w:rsidR="0043019D" w:rsidRPr="000F3293" w:rsidRDefault="0043019D" w:rsidP="0043019D">
      <w:pPr>
        <w:spacing w:line="360" w:lineRule="auto"/>
        <w:jc w:val="both"/>
        <w:rPr>
          <w:lang w:val="en-US"/>
        </w:rPr>
      </w:pPr>
      <w:r w:rsidRPr="000F3293">
        <w:rPr>
          <w:b/>
          <w:bCs/>
          <w:lang w:val="en-US"/>
        </w:rPr>
        <w:t>Keywords</w:t>
      </w:r>
      <w:r w:rsidRPr="000F3293">
        <w:rPr>
          <w:lang w:val="en-US"/>
        </w:rPr>
        <w:t>: Cultural property repatriation, return of cultural objects, cultural diplomacy, museum governance, Acropolis Museum, British Museum, Horniman Museum, Parthenon Sculptures, Benin Bronzes, public benefit</w:t>
      </w:r>
    </w:p>
    <w:p w14:paraId="568A22E8" w14:textId="77777777" w:rsidR="00531BBB" w:rsidRPr="000F3293" w:rsidRDefault="00531BBB" w:rsidP="0043019D">
      <w:pPr>
        <w:spacing w:line="360" w:lineRule="auto"/>
        <w:jc w:val="both"/>
        <w:rPr>
          <w:lang w:val="en-US"/>
        </w:rPr>
      </w:pPr>
    </w:p>
    <w:p w14:paraId="592CA5C0" w14:textId="77777777" w:rsidR="00531BBB" w:rsidRPr="000F3293" w:rsidRDefault="00531BBB" w:rsidP="0043019D">
      <w:pPr>
        <w:spacing w:line="360" w:lineRule="auto"/>
        <w:jc w:val="both"/>
        <w:rPr>
          <w:lang w:val="en-US"/>
        </w:rPr>
      </w:pPr>
    </w:p>
    <w:p w14:paraId="3DCE8A9A" w14:textId="77777777" w:rsidR="00531BBB" w:rsidRPr="000F3293" w:rsidRDefault="00531BBB" w:rsidP="0043019D">
      <w:pPr>
        <w:spacing w:line="360" w:lineRule="auto"/>
        <w:jc w:val="both"/>
        <w:rPr>
          <w:lang w:val="en-US"/>
        </w:rPr>
      </w:pPr>
    </w:p>
    <w:p w14:paraId="461BFC10" w14:textId="77777777" w:rsidR="00531BBB" w:rsidRPr="000F3293" w:rsidRDefault="00531BBB" w:rsidP="0043019D">
      <w:pPr>
        <w:spacing w:line="360" w:lineRule="auto"/>
        <w:jc w:val="both"/>
        <w:rPr>
          <w:lang w:val="en-US"/>
        </w:rPr>
      </w:pPr>
    </w:p>
    <w:p w14:paraId="6A0C0E7D" w14:textId="77777777" w:rsidR="00531BBB" w:rsidRPr="000F3293" w:rsidRDefault="00531BBB" w:rsidP="0043019D">
      <w:pPr>
        <w:spacing w:line="360" w:lineRule="auto"/>
        <w:jc w:val="both"/>
        <w:rPr>
          <w:lang w:val="en-US"/>
        </w:rPr>
      </w:pPr>
    </w:p>
    <w:p w14:paraId="42B99991" w14:textId="77777777" w:rsidR="00531BBB" w:rsidRPr="000F3293" w:rsidRDefault="00531BBB" w:rsidP="0043019D">
      <w:pPr>
        <w:spacing w:line="360" w:lineRule="auto"/>
        <w:jc w:val="both"/>
        <w:rPr>
          <w:lang w:val="en-US"/>
        </w:rPr>
      </w:pPr>
    </w:p>
    <w:p w14:paraId="29B83A3B" w14:textId="77777777" w:rsidR="00531BBB" w:rsidRPr="000F3293" w:rsidRDefault="00531BBB" w:rsidP="0043019D">
      <w:pPr>
        <w:spacing w:line="360" w:lineRule="auto"/>
        <w:jc w:val="both"/>
        <w:rPr>
          <w:lang w:val="en-US"/>
        </w:rPr>
      </w:pPr>
    </w:p>
    <w:p w14:paraId="30E4D213" w14:textId="77777777" w:rsidR="00531BBB" w:rsidRPr="000F3293" w:rsidRDefault="00531BBB" w:rsidP="0043019D">
      <w:pPr>
        <w:spacing w:line="360" w:lineRule="auto"/>
        <w:jc w:val="both"/>
        <w:rPr>
          <w:lang w:val="en-US"/>
        </w:rPr>
      </w:pPr>
    </w:p>
    <w:p w14:paraId="422D3707" w14:textId="77777777" w:rsidR="00531BBB" w:rsidRPr="000F3293" w:rsidRDefault="00531BBB" w:rsidP="0043019D">
      <w:pPr>
        <w:spacing w:line="360" w:lineRule="auto"/>
        <w:jc w:val="both"/>
        <w:rPr>
          <w:lang w:val="en-US"/>
        </w:rPr>
      </w:pPr>
    </w:p>
    <w:p w14:paraId="5E81489E" w14:textId="77777777" w:rsidR="00531BBB" w:rsidRPr="000F3293" w:rsidRDefault="00531BBB" w:rsidP="0043019D">
      <w:pPr>
        <w:spacing w:line="360" w:lineRule="auto"/>
        <w:jc w:val="both"/>
        <w:rPr>
          <w:lang w:val="en-US"/>
        </w:rPr>
      </w:pPr>
    </w:p>
    <w:p w14:paraId="4467224B" w14:textId="77777777" w:rsidR="00531BBB" w:rsidRPr="000F3293" w:rsidRDefault="00531BBB" w:rsidP="0043019D">
      <w:pPr>
        <w:spacing w:line="360" w:lineRule="auto"/>
        <w:jc w:val="both"/>
        <w:rPr>
          <w:lang w:val="en-US"/>
        </w:rPr>
      </w:pPr>
    </w:p>
    <w:p w14:paraId="3D2BAC37" w14:textId="77777777" w:rsidR="00531BBB" w:rsidRPr="000F3293" w:rsidRDefault="00531BBB" w:rsidP="0043019D">
      <w:pPr>
        <w:spacing w:line="360" w:lineRule="auto"/>
        <w:jc w:val="both"/>
        <w:rPr>
          <w:lang w:val="en-US"/>
        </w:rPr>
      </w:pPr>
    </w:p>
    <w:p w14:paraId="2E1DDE99" w14:textId="77777777" w:rsidR="00531BBB" w:rsidRPr="000F3293" w:rsidRDefault="00531BBB" w:rsidP="0043019D">
      <w:pPr>
        <w:spacing w:line="360" w:lineRule="auto"/>
        <w:jc w:val="both"/>
        <w:rPr>
          <w:lang w:val="en-US"/>
        </w:rPr>
      </w:pPr>
    </w:p>
    <w:p w14:paraId="2978AB7F" w14:textId="77777777" w:rsidR="00531BBB" w:rsidRPr="000F3293" w:rsidRDefault="00531BBB" w:rsidP="0043019D">
      <w:pPr>
        <w:spacing w:line="360" w:lineRule="auto"/>
        <w:jc w:val="both"/>
        <w:rPr>
          <w:lang w:val="en-US"/>
        </w:rPr>
      </w:pPr>
    </w:p>
    <w:p w14:paraId="72824A4B" w14:textId="77777777" w:rsidR="00531BBB" w:rsidRPr="000F3293" w:rsidRDefault="00531BBB" w:rsidP="0043019D">
      <w:pPr>
        <w:spacing w:line="360" w:lineRule="auto"/>
        <w:jc w:val="both"/>
        <w:rPr>
          <w:lang w:val="en-US"/>
        </w:rPr>
      </w:pPr>
    </w:p>
    <w:sdt>
      <w:sdtPr>
        <w:rPr>
          <w:rFonts w:ascii="Times New Roman" w:eastAsiaTheme="minorHAnsi" w:hAnsi="Times New Roman" w:cstheme="minorBidi"/>
          <w:b w:val="0"/>
          <w:bCs w:val="0"/>
          <w:color w:val="auto"/>
          <w:kern w:val="2"/>
          <w:sz w:val="24"/>
          <w:szCs w:val="24"/>
          <w:lang w:val="el-GR"/>
          <w14:ligatures w14:val="standardContextual"/>
        </w:rPr>
        <w:id w:val="982044602"/>
        <w:docPartObj>
          <w:docPartGallery w:val="Table of Contents"/>
          <w:docPartUnique/>
        </w:docPartObj>
      </w:sdtPr>
      <w:sdtEndPr>
        <w:rPr>
          <w:noProof/>
        </w:rPr>
      </w:sdtEndPr>
      <w:sdtContent>
        <w:p w14:paraId="4431E3DC" w14:textId="77777777" w:rsidR="00CD13AD" w:rsidRPr="000F3293" w:rsidRDefault="008E28C2" w:rsidP="008E77D7">
          <w:pPr>
            <w:pStyle w:val="a6"/>
            <w:spacing w:line="360" w:lineRule="auto"/>
            <w:rPr>
              <w:rFonts w:ascii="Times New Roman" w:hAnsi="Times New Roman"/>
              <w:color w:val="auto"/>
            </w:rPr>
          </w:pPr>
          <w:proofErr w:type="spellStart"/>
          <w:r w:rsidRPr="000F3293">
            <w:rPr>
              <w:rFonts w:ascii="Times New Roman" w:hAnsi="Times New Roman"/>
              <w:color w:val="auto"/>
            </w:rPr>
            <w:t>Περιεχόμεν</w:t>
          </w:r>
          <w:proofErr w:type="spellEnd"/>
          <w:r w:rsidRPr="000F3293">
            <w:rPr>
              <w:rFonts w:ascii="Times New Roman" w:hAnsi="Times New Roman"/>
              <w:color w:val="auto"/>
            </w:rPr>
            <w:t>α</w:t>
          </w:r>
        </w:p>
        <w:p w14:paraId="713AD7A5" w14:textId="7F9225DD" w:rsidR="002A183C" w:rsidRPr="000F3293" w:rsidRDefault="00CD13AD">
          <w:pPr>
            <w:pStyle w:val="20"/>
            <w:tabs>
              <w:tab w:val="right" w:leader="dot" w:pos="9350"/>
            </w:tabs>
            <w:rPr>
              <w:rFonts w:eastAsiaTheme="minorEastAsia" w:cstheme="minorBidi"/>
              <w:b w:val="0"/>
              <w:bCs w:val="0"/>
              <w:noProof/>
              <w:sz w:val="24"/>
              <w:szCs w:val="24"/>
              <w:lang w:eastAsia="el-GR"/>
            </w:rPr>
          </w:pPr>
          <w:r w:rsidRPr="000F3293">
            <w:rPr>
              <w:rFonts w:ascii="Times New Roman" w:hAnsi="Times New Roman" w:cs="Times New Roman"/>
              <w:b w:val="0"/>
              <w:bCs w:val="0"/>
              <w:i/>
              <w:iCs/>
              <w:sz w:val="24"/>
              <w:szCs w:val="24"/>
            </w:rPr>
            <w:fldChar w:fldCharType="begin"/>
          </w:r>
          <w:r w:rsidRPr="000F3293">
            <w:rPr>
              <w:rFonts w:ascii="Times New Roman" w:hAnsi="Times New Roman" w:cs="Times New Roman"/>
              <w:b w:val="0"/>
              <w:bCs w:val="0"/>
              <w:sz w:val="24"/>
              <w:szCs w:val="24"/>
            </w:rPr>
            <w:instrText xml:space="preserve"> TOC \o "1-3" \h \z \u </w:instrText>
          </w:r>
          <w:r w:rsidRPr="000F3293">
            <w:rPr>
              <w:rFonts w:ascii="Times New Roman" w:hAnsi="Times New Roman" w:cs="Times New Roman"/>
              <w:b w:val="0"/>
              <w:bCs w:val="0"/>
              <w:i/>
              <w:iCs/>
              <w:sz w:val="24"/>
              <w:szCs w:val="24"/>
            </w:rPr>
            <w:fldChar w:fldCharType="separate"/>
          </w:r>
          <w:hyperlink w:anchor="_Toc233154553" w:history="1">
            <w:r w:rsidR="002A183C" w:rsidRPr="000F3293">
              <w:rPr>
                <w:rStyle w:val="-"/>
                <w:rFonts w:ascii="Times New Roman" w:hAnsi="Times New Roman" w:cs="Times New Roman"/>
                <w:noProof/>
              </w:rPr>
              <w:t>Ευχαριστίες</w:t>
            </w:r>
            <w:r w:rsidR="002A183C" w:rsidRPr="000F3293">
              <w:rPr>
                <w:noProof/>
                <w:webHidden/>
              </w:rPr>
              <w:tab/>
            </w:r>
            <w:r w:rsidR="002A183C" w:rsidRPr="000F3293">
              <w:rPr>
                <w:noProof/>
                <w:webHidden/>
              </w:rPr>
              <w:fldChar w:fldCharType="begin"/>
            </w:r>
            <w:r w:rsidR="002A183C" w:rsidRPr="000F3293">
              <w:rPr>
                <w:noProof/>
                <w:webHidden/>
              </w:rPr>
              <w:instrText xml:space="preserve"> PAGEREF _Toc233154553 \h </w:instrText>
            </w:r>
            <w:r w:rsidR="002A183C" w:rsidRPr="000F3293">
              <w:rPr>
                <w:noProof/>
                <w:webHidden/>
              </w:rPr>
            </w:r>
            <w:r w:rsidR="002A183C" w:rsidRPr="000F3293">
              <w:rPr>
                <w:noProof/>
                <w:webHidden/>
              </w:rPr>
              <w:fldChar w:fldCharType="separate"/>
            </w:r>
            <w:r w:rsidR="002A183C" w:rsidRPr="000F3293">
              <w:rPr>
                <w:noProof/>
                <w:webHidden/>
              </w:rPr>
              <w:t>4</w:t>
            </w:r>
            <w:r w:rsidR="002A183C" w:rsidRPr="000F3293">
              <w:rPr>
                <w:noProof/>
                <w:webHidden/>
              </w:rPr>
              <w:fldChar w:fldCharType="end"/>
            </w:r>
          </w:hyperlink>
        </w:p>
        <w:p w14:paraId="796FC0C3" w14:textId="7F362B34"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54" w:history="1">
            <w:r w:rsidRPr="000F3293">
              <w:rPr>
                <w:rStyle w:val="-"/>
                <w:noProof/>
              </w:rPr>
              <w:t>Περίληψη</w:t>
            </w:r>
            <w:r w:rsidRPr="000F3293">
              <w:rPr>
                <w:noProof/>
                <w:webHidden/>
              </w:rPr>
              <w:tab/>
            </w:r>
            <w:r w:rsidRPr="000F3293">
              <w:rPr>
                <w:noProof/>
                <w:webHidden/>
              </w:rPr>
              <w:fldChar w:fldCharType="begin"/>
            </w:r>
            <w:r w:rsidRPr="000F3293">
              <w:rPr>
                <w:noProof/>
                <w:webHidden/>
              </w:rPr>
              <w:instrText xml:space="preserve"> PAGEREF _Toc233154554 \h </w:instrText>
            </w:r>
            <w:r w:rsidRPr="000F3293">
              <w:rPr>
                <w:noProof/>
                <w:webHidden/>
              </w:rPr>
            </w:r>
            <w:r w:rsidRPr="000F3293">
              <w:rPr>
                <w:noProof/>
                <w:webHidden/>
              </w:rPr>
              <w:fldChar w:fldCharType="separate"/>
            </w:r>
            <w:r w:rsidRPr="000F3293">
              <w:rPr>
                <w:noProof/>
                <w:webHidden/>
              </w:rPr>
              <w:t>5</w:t>
            </w:r>
            <w:r w:rsidRPr="000F3293">
              <w:rPr>
                <w:noProof/>
                <w:webHidden/>
              </w:rPr>
              <w:fldChar w:fldCharType="end"/>
            </w:r>
          </w:hyperlink>
        </w:p>
        <w:p w14:paraId="4F42E15D" w14:textId="7AB0DBC7"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55" w:history="1">
            <w:r w:rsidRPr="000F3293">
              <w:rPr>
                <w:rStyle w:val="-"/>
                <w:noProof/>
                <w:lang w:val="en-US"/>
              </w:rPr>
              <w:t>Abstract</w:t>
            </w:r>
            <w:r w:rsidRPr="000F3293">
              <w:rPr>
                <w:noProof/>
                <w:webHidden/>
              </w:rPr>
              <w:tab/>
            </w:r>
            <w:r w:rsidRPr="000F3293">
              <w:rPr>
                <w:noProof/>
                <w:webHidden/>
              </w:rPr>
              <w:fldChar w:fldCharType="begin"/>
            </w:r>
            <w:r w:rsidRPr="000F3293">
              <w:rPr>
                <w:noProof/>
                <w:webHidden/>
              </w:rPr>
              <w:instrText xml:space="preserve"> PAGEREF _Toc233154555 \h </w:instrText>
            </w:r>
            <w:r w:rsidRPr="000F3293">
              <w:rPr>
                <w:noProof/>
                <w:webHidden/>
              </w:rPr>
            </w:r>
            <w:r w:rsidRPr="000F3293">
              <w:rPr>
                <w:noProof/>
                <w:webHidden/>
              </w:rPr>
              <w:fldChar w:fldCharType="separate"/>
            </w:r>
            <w:r w:rsidRPr="000F3293">
              <w:rPr>
                <w:noProof/>
                <w:webHidden/>
              </w:rPr>
              <w:t>7</w:t>
            </w:r>
            <w:r w:rsidRPr="000F3293">
              <w:rPr>
                <w:noProof/>
                <w:webHidden/>
              </w:rPr>
              <w:fldChar w:fldCharType="end"/>
            </w:r>
          </w:hyperlink>
        </w:p>
        <w:p w14:paraId="53CC959C" w14:textId="1F14C618"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56" w:history="1">
            <w:r w:rsidRPr="000F3293">
              <w:rPr>
                <w:rStyle w:val="-"/>
                <w:noProof/>
              </w:rPr>
              <w:t>Εισαγωγή</w:t>
            </w:r>
            <w:r w:rsidRPr="000F3293">
              <w:rPr>
                <w:noProof/>
                <w:webHidden/>
              </w:rPr>
              <w:tab/>
            </w:r>
            <w:r w:rsidRPr="000F3293">
              <w:rPr>
                <w:noProof/>
                <w:webHidden/>
              </w:rPr>
              <w:fldChar w:fldCharType="begin"/>
            </w:r>
            <w:r w:rsidRPr="000F3293">
              <w:rPr>
                <w:noProof/>
                <w:webHidden/>
              </w:rPr>
              <w:instrText xml:space="preserve"> PAGEREF _Toc233154556 \h </w:instrText>
            </w:r>
            <w:r w:rsidRPr="000F3293">
              <w:rPr>
                <w:noProof/>
                <w:webHidden/>
              </w:rPr>
            </w:r>
            <w:r w:rsidRPr="000F3293">
              <w:rPr>
                <w:noProof/>
                <w:webHidden/>
              </w:rPr>
              <w:fldChar w:fldCharType="separate"/>
            </w:r>
            <w:r w:rsidRPr="000F3293">
              <w:rPr>
                <w:noProof/>
                <w:webHidden/>
              </w:rPr>
              <w:t>10</w:t>
            </w:r>
            <w:r w:rsidRPr="000F3293">
              <w:rPr>
                <w:noProof/>
                <w:webHidden/>
              </w:rPr>
              <w:fldChar w:fldCharType="end"/>
            </w:r>
          </w:hyperlink>
        </w:p>
        <w:p w14:paraId="6A945FEE" w14:textId="52526702"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57" w:history="1">
            <w:r w:rsidRPr="000F3293">
              <w:rPr>
                <w:rStyle w:val="-"/>
                <w:noProof/>
              </w:rPr>
              <w:t>Κεφάλαιο 1. Θεωρητικό και εννοιολογικό πλαίσιο του επαναπατρισμού πολιτιστικών αγαθών</w:t>
            </w:r>
            <w:r w:rsidRPr="000F3293">
              <w:rPr>
                <w:noProof/>
                <w:webHidden/>
              </w:rPr>
              <w:tab/>
            </w:r>
            <w:r w:rsidRPr="000F3293">
              <w:rPr>
                <w:noProof/>
                <w:webHidden/>
              </w:rPr>
              <w:fldChar w:fldCharType="begin"/>
            </w:r>
            <w:r w:rsidRPr="000F3293">
              <w:rPr>
                <w:noProof/>
                <w:webHidden/>
              </w:rPr>
              <w:instrText xml:space="preserve"> PAGEREF _Toc233154557 \h </w:instrText>
            </w:r>
            <w:r w:rsidRPr="000F3293">
              <w:rPr>
                <w:noProof/>
                <w:webHidden/>
              </w:rPr>
            </w:r>
            <w:r w:rsidRPr="000F3293">
              <w:rPr>
                <w:noProof/>
                <w:webHidden/>
              </w:rPr>
              <w:fldChar w:fldCharType="separate"/>
            </w:r>
            <w:r w:rsidRPr="000F3293">
              <w:rPr>
                <w:noProof/>
                <w:webHidden/>
              </w:rPr>
              <w:t>18</w:t>
            </w:r>
            <w:r w:rsidRPr="000F3293">
              <w:rPr>
                <w:noProof/>
                <w:webHidden/>
              </w:rPr>
              <w:fldChar w:fldCharType="end"/>
            </w:r>
          </w:hyperlink>
        </w:p>
        <w:p w14:paraId="59311AA1" w14:textId="35F4A635"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58" w:history="1">
            <w:r w:rsidRPr="000F3293">
              <w:rPr>
                <w:rStyle w:val="-"/>
                <w:noProof/>
              </w:rPr>
              <w:t>1.1 Πολιτιστική πολιτική και διοίκηση πολιτιστικών οργανισμών</w:t>
            </w:r>
            <w:r w:rsidRPr="000F3293">
              <w:rPr>
                <w:noProof/>
                <w:webHidden/>
              </w:rPr>
              <w:tab/>
            </w:r>
            <w:r w:rsidRPr="000F3293">
              <w:rPr>
                <w:noProof/>
                <w:webHidden/>
              </w:rPr>
              <w:fldChar w:fldCharType="begin"/>
            </w:r>
            <w:r w:rsidRPr="000F3293">
              <w:rPr>
                <w:noProof/>
                <w:webHidden/>
              </w:rPr>
              <w:instrText xml:space="preserve"> PAGEREF _Toc233154558 \h </w:instrText>
            </w:r>
            <w:r w:rsidRPr="000F3293">
              <w:rPr>
                <w:noProof/>
                <w:webHidden/>
              </w:rPr>
            </w:r>
            <w:r w:rsidRPr="000F3293">
              <w:rPr>
                <w:noProof/>
                <w:webHidden/>
              </w:rPr>
              <w:fldChar w:fldCharType="separate"/>
            </w:r>
            <w:r w:rsidRPr="000F3293">
              <w:rPr>
                <w:noProof/>
                <w:webHidden/>
              </w:rPr>
              <w:t>18</w:t>
            </w:r>
            <w:r w:rsidRPr="000F3293">
              <w:rPr>
                <w:noProof/>
                <w:webHidden/>
              </w:rPr>
              <w:fldChar w:fldCharType="end"/>
            </w:r>
          </w:hyperlink>
        </w:p>
        <w:p w14:paraId="4BD78547" w14:textId="5DE8B971"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59" w:history="1">
            <w:r w:rsidRPr="000F3293">
              <w:rPr>
                <w:rStyle w:val="-"/>
                <w:noProof/>
              </w:rPr>
              <w:t>1.1.1 Ορισμός και βασικές αρχές πολιτιστικής πολιτικής</w:t>
            </w:r>
            <w:r w:rsidRPr="000F3293">
              <w:rPr>
                <w:noProof/>
                <w:webHidden/>
              </w:rPr>
              <w:tab/>
            </w:r>
            <w:r w:rsidRPr="000F3293">
              <w:rPr>
                <w:noProof/>
                <w:webHidden/>
              </w:rPr>
              <w:fldChar w:fldCharType="begin"/>
            </w:r>
            <w:r w:rsidRPr="000F3293">
              <w:rPr>
                <w:noProof/>
                <w:webHidden/>
              </w:rPr>
              <w:instrText xml:space="preserve"> PAGEREF _Toc233154559 \h </w:instrText>
            </w:r>
            <w:r w:rsidRPr="000F3293">
              <w:rPr>
                <w:noProof/>
                <w:webHidden/>
              </w:rPr>
            </w:r>
            <w:r w:rsidRPr="000F3293">
              <w:rPr>
                <w:noProof/>
                <w:webHidden/>
              </w:rPr>
              <w:fldChar w:fldCharType="separate"/>
            </w:r>
            <w:r w:rsidRPr="000F3293">
              <w:rPr>
                <w:noProof/>
                <w:webHidden/>
              </w:rPr>
              <w:t>18</w:t>
            </w:r>
            <w:r w:rsidRPr="000F3293">
              <w:rPr>
                <w:noProof/>
                <w:webHidden/>
              </w:rPr>
              <w:fldChar w:fldCharType="end"/>
            </w:r>
          </w:hyperlink>
        </w:p>
        <w:p w14:paraId="2620D920" w14:textId="7443E265"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0" w:history="1">
            <w:r w:rsidRPr="000F3293">
              <w:rPr>
                <w:rStyle w:val="-"/>
                <w:noProof/>
              </w:rPr>
              <w:t>1.1.2 Σχέση κράτους- πολιτιστικών οργανισμών</w:t>
            </w:r>
            <w:r w:rsidRPr="000F3293">
              <w:rPr>
                <w:noProof/>
                <w:webHidden/>
              </w:rPr>
              <w:tab/>
            </w:r>
            <w:r w:rsidRPr="000F3293">
              <w:rPr>
                <w:noProof/>
                <w:webHidden/>
              </w:rPr>
              <w:fldChar w:fldCharType="begin"/>
            </w:r>
            <w:r w:rsidRPr="000F3293">
              <w:rPr>
                <w:noProof/>
                <w:webHidden/>
              </w:rPr>
              <w:instrText xml:space="preserve"> PAGEREF _Toc233154560 \h </w:instrText>
            </w:r>
            <w:r w:rsidRPr="000F3293">
              <w:rPr>
                <w:noProof/>
                <w:webHidden/>
              </w:rPr>
            </w:r>
            <w:r w:rsidRPr="000F3293">
              <w:rPr>
                <w:noProof/>
                <w:webHidden/>
              </w:rPr>
              <w:fldChar w:fldCharType="separate"/>
            </w:r>
            <w:r w:rsidRPr="000F3293">
              <w:rPr>
                <w:noProof/>
                <w:webHidden/>
              </w:rPr>
              <w:t>19</w:t>
            </w:r>
            <w:r w:rsidRPr="000F3293">
              <w:rPr>
                <w:noProof/>
                <w:webHidden/>
              </w:rPr>
              <w:fldChar w:fldCharType="end"/>
            </w:r>
          </w:hyperlink>
        </w:p>
        <w:p w14:paraId="55365C6B" w14:textId="2335D5FF"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1" w:history="1">
            <w:r w:rsidRPr="000F3293">
              <w:rPr>
                <w:rStyle w:val="-"/>
                <w:noProof/>
              </w:rPr>
              <w:t>1.1.3 Μοντέλα διοίκησης πολιτιστικών οργανισμών</w:t>
            </w:r>
            <w:r w:rsidRPr="000F3293">
              <w:rPr>
                <w:noProof/>
                <w:webHidden/>
              </w:rPr>
              <w:tab/>
            </w:r>
            <w:r w:rsidRPr="000F3293">
              <w:rPr>
                <w:noProof/>
                <w:webHidden/>
              </w:rPr>
              <w:fldChar w:fldCharType="begin"/>
            </w:r>
            <w:r w:rsidRPr="000F3293">
              <w:rPr>
                <w:noProof/>
                <w:webHidden/>
              </w:rPr>
              <w:instrText xml:space="preserve"> PAGEREF _Toc233154561 \h </w:instrText>
            </w:r>
            <w:r w:rsidRPr="000F3293">
              <w:rPr>
                <w:noProof/>
                <w:webHidden/>
              </w:rPr>
            </w:r>
            <w:r w:rsidRPr="000F3293">
              <w:rPr>
                <w:noProof/>
                <w:webHidden/>
              </w:rPr>
              <w:fldChar w:fldCharType="separate"/>
            </w:r>
            <w:r w:rsidRPr="000F3293">
              <w:rPr>
                <w:noProof/>
                <w:webHidden/>
              </w:rPr>
              <w:t>21</w:t>
            </w:r>
            <w:r w:rsidRPr="000F3293">
              <w:rPr>
                <w:noProof/>
                <w:webHidden/>
              </w:rPr>
              <w:fldChar w:fldCharType="end"/>
            </w:r>
          </w:hyperlink>
        </w:p>
        <w:p w14:paraId="21844CC4" w14:textId="5D580099"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2" w:history="1">
            <w:r w:rsidRPr="000F3293">
              <w:rPr>
                <w:rStyle w:val="-"/>
                <w:noProof/>
              </w:rPr>
              <w:t>1.1.4 Στρατηγικές διαχείρισης πολιτιστικών αγαθών</w:t>
            </w:r>
            <w:r w:rsidRPr="000F3293">
              <w:rPr>
                <w:noProof/>
                <w:webHidden/>
              </w:rPr>
              <w:tab/>
            </w:r>
            <w:r w:rsidRPr="000F3293">
              <w:rPr>
                <w:noProof/>
                <w:webHidden/>
              </w:rPr>
              <w:fldChar w:fldCharType="begin"/>
            </w:r>
            <w:r w:rsidRPr="000F3293">
              <w:rPr>
                <w:noProof/>
                <w:webHidden/>
              </w:rPr>
              <w:instrText xml:space="preserve"> PAGEREF _Toc233154562 \h </w:instrText>
            </w:r>
            <w:r w:rsidRPr="000F3293">
              <w:rPr>
                <w:noProof/>
                <w:webHidden/>
              </w:rPr>
            </w:r>
            <w:r w:rsidRPr="000F3293">
              <w:rPr>
                <w:noProof/>
                <w:webHidden/>
              </w:rPr>
              <w:fldChar w:fldCharType="separate"/>
            </w:r>
            <w:r w:rsidRPr="000F3293">
              <w:rPr>
                <w:noProof/>
                <w:webHidden/>
              </w:rPr>
              <w:t>22</w:t>
            </w:r>
            <w:r w:rsidRPr="000F3293">
              <w:rPr>
                <w:noProof/>
                <w:webHidden/>
              </w:rPr>
              <w:fldChar w:fldCharType="end"/>
            </w:r>
          </w:hyperlink>
        </w:p>
        <w:p w14:paraId="6B81B126" w14:textId="0A39BAD7"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3" w:history="1">
            <w:r w:rsidRPr="000F3293">
              <w:rPr>
                <w:rStyle w:val="-"/>
                <w:noProof/>
              </w:rPr>
              <w:t>1.2 Πολιτιστική διπλωματία και διεθνές ρυθμιστικό περιβάλλον</w:t>
            </w:r>
            <w:r w:rsidRPr="000F3293">
              <w:rPr>
                <w:noProof/>
                <w:webHidden/>
              </w:rPr>
              <w:tab/>
            </w:r>
            <w:r w:rsidRPr="000F3293">
              <w:rPr>
                <w:noProof/>
                <w:webHidden/>
              </w:rPr>
              <w:fldChar w:fldCharType="begin"/>
            </w:r>
            <w:r w:rsidRPr="000F3293">
              <w:rPr>
                <w:noProof/>
                <w:webHidden/>
              </w:rPr>
              <w:instrText xml:space="preserve"> PAGEREF _Toc233154563 \h </w:instrText>
            </w:r>
            <w:r w:rsidRPr="000F3293">
              <w:rPr>
                <w:noProof/>
                <w:webHidden/>
              </w:rPr>
            </w:r>
            <w:r w:rsidRPr="000F3293">
              <w:rPr>
                <w:noProof/>
                <w:webHidden/>
              </w:rPr>
              <w:fldChar w:fldCharType="separate"/>
            </w:r>
            <w:r w:rsidRPr="000F3293">
              <w:rPr>
                <w:noProof/>
                <w:webHidden/>
              </w:rPr>
              <w:t>23</w:t>
            </w:r>
            <w:r w:rsidRPr="000F3293">
              <w:rPr>
                <w:noProof/>
                <w:webHidden/>
              </w:rPr>
              <w:fldChar w:fldCharType="end"/>
            </w:r>
          </w:hyperlink>
        </w:p>
        <w:p w14:paraId="6975F69D" w14:textId="0FE1DB7A"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4" w:history="1">
            <w:r w:rsidRPr="000F3293">
              <w:rPr>
                <w:rStyle w:val="-"/>
                <w:noProof/>
              </w:rPr>
              <w:t>1.2.1 Έννοια και εργαλεία πολιτιστικής διπλωματίας</w:t>
            </w:r>
            <w:r w:rsidRPr="000F3293">
              <w:rPr>
                <w:noProof/>
                <w:webHidden/>
              </w:rPr>
              <w:tab/>
            </w:r>
            <w:r w:rsidRPr="000F3293">
              <w:rPr>
                <w:noProof/>
                <w:webHidden/>
              </w:rPr>
              <w:fldChar w:fldCharType="begin"/>
            </w:r>
            <w:r w:rsidRPr="000F3293">
              <w:rPr>
                <w:noProof/>
                <w:webHidden/>
              </w:rPr>
              <w:instrText xml:space="preserve"> PAGEREF _Toc233154564 \h </w:instrText>
            </w:r>
            <w:r w:rsidRPr="000F3293">
              <w:rPr>
                <w:noProof/>
                <w:webHidden/>
              </w:rPr>
            </w:r>
            <w:r w:rsidRPr="000F3293">
              <w:rPr>
                <w:noProof/>
                <w:webHidden/>
              </w:rPr>
              <w:fldChar w:fldCharType="separate"/>
            </w:r>
            <w:r w:rsidRPr="000F3293">
              <w:rPr>
                <w:noProof/>
                <w:webHidden/>
              </w:rPr>
              <w:t>23</w:t>
            </w:r>
            <w:r w:rsidRPr="000F3293">
              <w:rPr>
                <w:noProof/>
                <w:webHidden/>
              </w:rPr>
              <w:fldChar w:fldCharType="end"/>
            </w:r>
          </w:hyperlink>
        </w:p>
        <w:p w14:paraId="6D82CFF5" w14:textId="2DA963A4"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5" w:history="1">
            <w:r w:rsidRPr="000F3293">
              <w:rPr>
                <w:rStyle w:val="-"/>
                <w:noProof/>
              </w:rPr>
              <w:t>1.2.2 Ρόλος διεθνών οργανισμών (UNESCO, ICOM, ICCROM)</w:t>
            </w:r>
            <w:r w:rsidRPr="000F3293">
              <w:rPr>
                <w:noProof/>
                <w:webHidden/>
              </w:rPr>
              <w:tab/>
            </w:r>
            <w:r w:rsidRPr="000F3293">
              <w:rPr>
                <w:noProof/>
                <w:webHidden/>
              </w:rPr>
              <w:fldChar w:fldCharType="begin"/>
            </w:r>
            <w:r w:rsidRPr="000F3293">
              <w:rPr>
                <w:noProof/>
                <w:webHidden/>
              </w:rPr>
              <w:instrText xml:space="preserve"> PAGEREF _Toc233154565 \h </w:instrText>
            </w:r>
            <w:r w:rsidRPr="000F3293">
              <w:rPr>
                <w:noProof/>
                <w:webHidden/>
              </w:rPr>
            </w:r>
            <w:r w:rsidRPr="000F3293">
              <w:rPr>
                <w:noProof/>
                <w:webHidden/>
              </w:rPr>
              <w:fldChar w:fldCharType="separate"/>
            </w:r>
            <w:r w:rsidRPr="000F3293">
              <w:rPr>
                <w:noProof/>
                <w:webHidden/>
              </w:rPr>
              <w:t>24</w:t>
            </w:r>
            <w:r w:rsidRPr="000F3293">
              <w:rPr>
                <w:noProof/>
                <w:webHidden/>
              </w:rPr>
              <w:fldChar w:fldCharType="end"/>
            </w:r>
          </w:hyperlink>
        </w:p>
        <w:p w14:paraId="4E70CB8F" w14:textId="48D7071D"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6" w:history="1">
            <w:r w:rsidRPr="000F3293">
              <w:rPr>
                <w:rStyle w:val="-"/>
                <w:noProof/>
              </w:rPr>
              <w:t>1.2.3 Κώδικες δεοντολογίας και κατευθυντήριες γραμμές</w:t>
            </w:r>
            <w:r w:rsidRPr="000F3293">
              <w:rPr>
                <w:noProof/>
                <w:webHidden/>
              </w:rPr>
              <w:tab/>
            </w:r>
            <w:r w:rsidRPr="000F3293">
              <w:rPr>
                <w:noProof/>
                <w:webHidden/>
              </w:rPr>
              <w:fldChar w:fldCharType="begin"/>
            </w:r>
            <w:r w:rsidRPr="000F3293">
              <w:rPr>
                <w:noProof/>
                <w:webHidden/>
              </w:rPr>
              <w:instrText xml:space="preserve"> PAGEREF _Toc233154566 \h </w:instrText>
            </w:r>
            <w:r w:rsidRPr="000F3293">
              <w:rPr>
                <w:noProof/>
                <w:webHidden/>
              </w:rPr>
            </w:r>
            <w:r w:rsidRPr="000F3293">
              <w:rPr>
                <w:noProof/>
                <w:webHidden/>
              </w:rPr>
              <w:fldChar w:fldCharType="separate"/>
            </w:r>
            <w:r w:rsidRPr="000F3293">
              <w:rPr>
                <w:noProof/>
                <w:webHidden/>
              </w:rPr>
              <w:t>26</w:t>
            </w:r>
            <w:r w:rsidRPr="000F3293">
              <w:rPr>
                <w:noProof/>
                <w:webHidden/>
              </w:rPr>
              <w:fldChar w:fldCharType="end"/>
            </w:r>
          </w:hyperlink>
        </w:p>
        <w:p w14:paraId="583E19F8" w14:textId="2A10432B"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7" w:history="1">
            <w:r w:rsidRPr="000F3293">
              <w:rPr>
                <w:rStyle w:val="-"/>
                <w:noProof/>
              </w:rPr>
              <w:t>1.2.4 Σχέση διπλωματίας με πολιτιστική πολιτική και δημόσια επικοινωνία</w:t>
            </w:r>
            <w:r w:rsidRPr="000F3293">
              <w:rPr>
                <w:noProof/>
                <w:webHidden/>
              </w:rPr>
              <w:tab/>
            </w:r>
            <w:r w:rsidRPr="000F3293">
              <w:rPr>
                <w:noProof/>
                <w:webHidden/>
              </w:rPr>
              <w:fldChar w:fldCharType="begin"/>
            </w:r>
            <w:r w:rsidRPr="000F3293">
              <w:rPr>
                <w:noProof/>
                <w:webHidden/>
              </w:rPr>
              <w:instrText xml:space="preserve"> PAGEREF _Toc233154567 \h </w:instrText>
            </w:r>
            <w:r w:rsidRPr="000F3293">
              <w:rPr>
                <w:noProof/>
                <w:webHidden/>
              </w:rPr>
            </w:r>
            <w:r w:rsidRPr="000F3293">
              <w:rPr>
                <w:noProof/>
                <w:webHidden/>
              </w:rPr>
              <w:fldChar w:fldCharType="separate"/>
            </w:r>
            <w:r w:rsidRPr="000F3293">
              <w:rPr>
                <w:noProof/>
                <w:webHidden/>
              </w:rPr>
              <w:t>26</w:t>
            </w:r>
            <w:r w:rsidRPr="000F3293">
              <w:rPr>
                <w:noProof/>
                <w:webHidden/>
              </w:rPr>
              <w:fldChar w:fldCharType="end"/>
            </w:r>
          </w:hyperlink>
        </w:p>
        <w:p w14:paraId="617723F2" w14:textId="4E319795"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8" w:history="1">
            <w:r w:rsidRPr="000F3293">
              <w:rPr>
                <w:rStyle w:val="-"/>
                <w:noProof/>
              </w:rPr>
              <w:t>1.3 Δίκαιο πολιτιστικής κληρονομιάς και μη αναδρομικότητα διεθνών συμβάσεων</w:t>
            </w:r>
            <w:r w:rsidRPr="000F3293">
              <w:rPr>
                <w:noProof/>
                <w:webHidden/>
              </w:rPr>
              <w:tab/>
            </w:r>
            <w:r w:rsidRPr="000F3293">
              <w:rPr>
                <w:noProof/>
                <w:webHidden/>
              </w:rPr>
              <w:fldChar w:fldCharType="begin"/>
            </w:r>
            <w:r w:rsidRPr="000F3293">
              <w:rPr>
                <w:noProof/>
                <w:webHidden/>
              </w:rPr>
              <w:instrText xml:space="preserve"> PAGEREF _Toc233154568 \h </w:instrText>
            </w:r>
            <w:r w:rsidRPr="000F3293">
              <w:rPr>
                <w:noProof/>
                <w:webHidden/>
              </w:rPr>
            </w:r>
            <w:r w:rsidRPr="000F3293">
              <w:rPr>
                <w:noProof/>
                <w:webHidden/>
              </w:rPr>
              <w:fldChar w:fldCharType="separate"/>
            </w:r>
            <w:r w:rsidRPr="000F3293">
              <w:rPr>
                <w:noProof/>
                <w:webHidden/>
              </w:rPr>
              <w:t>27</w:t>
            </w:r>
            <w:r w:rsidRPr="000F3293">
              <w:rPr>
                <w:noProof/>
                <w:webHidden/>
              </w:rPr>
              <w:fldChar w:fldCharType="end"/>
            </w:r>
          </w:hyperlink>
        </w:p>
        <w:p w14:paraId="32AAE77C" w14:textId="584BB833"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69" w:history="1">
            <w:r w:rsidRPr="000F3293">
              <w:rPr>
                <w:rStyle w:val="-"/>
                <w:noProof/>
              </w:rPr>
              <w:t>1.3.1 Νομικές αρχές επαναπατρισμού</w:t>
            </w:r>
            <w:r w:rsidRPr="000F3293">
              <w:rPr>
                <w:noProof/>
                <w:webHidden/>
              </w:rPr>
              <w:tab/>
            </w:r>
            <w:r w:rsidRPr="000F3293">
              <w:rPr>
                <w:noProof/>
                <w:webHidden/>
              </w:rPr>
              <w:fldChar w:fldCharType="begin"/>
            </w:r>
            <w:r w:rsidRPr="000F3293">
              <w:rPr>
                <w:noProof/>
                <w:webHidden/>
              </w:rPr>
              <w:instrText xml:space="preserve"> PAGEREF _Toc233154569 \h </w:instrText>
            </w:r>
            <w:r w:rsidRPr="000F3293">
              <w:rPr>
                <w:noProof/>
                <w:webHidden/>
              </w:rPr>
            </w:r>
            <w:r w:rsidRPr="000F3293">
              <w:rPr>
                <w:noProof/>
                <w:webHidden/>
              </w:rPr>
              <w:fldChar w:fldCharType="separate"/>
            </w:r>
            <w:r w:rsidRPr="000F3293">
              <w:rPr>
                <w:noProof/>
                <w:webHidden/>
              </w:rPr>
              <w:t>27</w:t>
            </w:r>
            <w:r w:rsidRPr="000F3293">
              <w:rPr>
                <w:noProof/>
                <w:webHidden/>
              </w:rPr>
              <w:fldChar w:fldCharType="end"/>
            </w:r>
          </w:hyperlink>
        </w:p>
        <w:p w14:paraId="617F6174" w14:textId="7E52A867"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0" w:history="1">
            <w:r w:rsidRPr="000F3293">
              <w:rPr>
                <w:rStyle w:val="-"/>
                <w:noProof/>
              </w:rPr>
              <w:t>1.3.2 Ζήτημα μη αναδρομικότητας και επιπτώσεις σε Παρθενώνα και Μπενίν</w:t>
            </w:r>
            <w:r w:rsidRPr="000F3293">
              <w:rPr>
                <w:noProof/>
                <w:webHidden/>
              </w:rPr>
              <w:tab/>
            </w:r>
            <w:r w:rsidRPr="000F3293">
              <w:rPr>
                <w:noProof/>
                <w:webHidden/>
              </w:rPr>
              <w:fldChar w:fldCharType="begin"/>
            </w:r>
            <w:r w:rsidRPr="000F3293">
              <w:rPr>
                <w:noProof/>
                <w:webHidden/>
              </w:rPr>
              <w:instrText xml:space="preserve"> PAGEREF _Toc233154570 \h </w:instrText>
            </w:r>
            <w:r w:rsidRPr="000F3293">
              <w:rPr>
                <w:noProof/>
                <w:webHidden/>
              </w:rPr>
            </w:r>
            <w:r w:rsidRPr="000F3293">
              <w:rPr>
                <w:noProof/>
                <w:webHidden/>
              </w:rPr>
              <w:fldChar w:fldCharType="separate"/>
            </w:r>
            <w:r w:rsidRPr="000F3293">
              <w:rPr>
                <w:noProof/>
                <w:webHidden/>
              </w:rPr>
              <w:t>29</w:t>
            </w:r>
            <w:r w:rsidRPr="000F3293">
              <w:rPr>
                <w:noProof/>
                <w:webHidden/>
              </w:rPr>
              <w:fldChar w:fldCharType="end"/>
            </w:r>
          </w:hyperlink>
        </w:p>
        <w:p w14:paraId="6ECA7E12" w14:textId="3AAFD733"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1" w:history="1">
            <w:r w:rsidRPr="000F3293">
              <w:rPr>
                <w:rStyle w:val="-"/>
                <w:noProof/>
              </w:rPr>
              <w:t>1.3.3 Συγκριτική ανάλυση εθνικών νομοθεσιών</w:t>
            </w:r>
            <w:r w:rsidRPr="000F3293">
              <w:rPr>
                <w:noProof/>
                <w:webHidden/>
              </w:rPr>
              <w:tab/>
            </w:r>
            <w:r w:rsidRPr="000F3293">
              <w:rPr>
                <w:noProof/>
                <w:webHidden/>
              </w:rPr>
              <w:fldChar w:fldCharType="begin"/>
            </w:r>
            <w:r w:rsidRPr="000F3293">
              <w:rPr>
                <w:noProof/>
                <w:webHidden/>
              </w:rPr>
              <w:instrText xml:space="preserve"> PAGEREF _Toc233154571 \h </w:instrText>
            </w:r>
            <w:r w:rsidRPr="000F3293">
              <w:rPr>
                <w:noProof/>
                <w:webHidden/>
              </w:rPr>
            </w:r>
            <w:r w:rsidRPr="000F3293">
              <w:rPr>
                <w:noProof/>
                <w:webHidden/>
              </w:rPr>
              <w:fldChar w:fldCharType="separate"/>
            </w:r>
            <w:r w:rsidRPr="000F3293">
              <w:rPr>
                <w:noProof/>
                <w:webHidden/>
              </w:rPr>
              <w:t>32</w:t>
            </w:r>
            <w:r w:rsidRPr="000F3293">
              <w:rPr>
                <w:noProof/>
                <w:webHidden/>
              </w:rPr>
              <w:fldChar w:fldCharType="end"/>
            </w:r>
          </w:hyperlink>
        </w:p>
        <w:p w14:paraId="69537E0F" w14:textId="47CCC232"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2" w:history="1">
            <w:r w:rsidRPr="000F3293">
              <w:rPr>
                <w:rStyle w:val="-"/>
                <w:noProof/>
              </w:rPr>
              <w:t>1.3.4 Θεωρητικές σχολές και επιχειρήματα για την ιδιοκτησία και τη θέση των πολιτιστικών αγαθών</w:t>
            </w:r>
            <w:r w:rsidRPr="000F3293">
              <w:rPr>
                <w:noProof/>
                <w:webHidden/>
              </w:rPr>
              <w:tab/>
            </w:r>
            <w:r w:rsidRPr="000F3293">
              <w:rPr>
                <w:noProof/>
                <w:webHidden/>
              </w:rPr>
              <w:fldChar w:fldCharType="begin"/>
            </w:r>
            <w:r w:rsidRPr="000F3293">
              <w:rPr>
                <w:noProof/>
                <w:webHidden/>
              </w:rPr>
              <w:instrText xml:space="preserve"> PAGEREF _Toc233154572 \h </w:instrText>
            </w:r>
            <w:r w:rsidRPr="000F3293">
              <w:rPr>
                <w:noProof/>
                <w:webHidden/>
              </w:rPr>
            </w:r>
            <w:r w:rsidRPr="000F3293">
              <w:rPr>
                <w:noProof/>
                <w:webHidden/>
              </w:rPr>
              <w:fldChar w:fldCharType="separate"/>
            </w:r>
            <w:r w:rsidRPr="000F3293">
              <w:rPr>
                <w:noProof/>
                <w:webHidden/>
              </w:rPr>
              <w:t>33</w:t>
            </w:r>
            <w:r w:rsidRPr="000F3293">
              <w:rPr>
                <w:noProof/>
                <w:webHidden/>
              </w:rPr>
              <w:fldChar w:fldCharType="end"/>
            </w:r>
          </w:hyperlink>
        </w:p>
        <w:p w14:paraId="4317F9AA" w14:textId="3FB01FD6"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3" w:history="1">
            <w:r w:rsidRPr="000F3293">
              <w:rPr>
                <w:rStyle w:val="-"/>
                <w:noProof/>
              </w:rPr>
              <w:t>Κεφάλαιο 2. Δημόσια επικοινωνία στον πολιτισμό και διαμόρφωση κοινής γνώμης</w:t>
            </w:r>
            <w:r w:rsidRPr="000F3293">
              <w:rPr>
                <w:noProof/>
                <w:webHidden/>
              </w:rPr>
              <w:tab/>
            </w:r>
            <w:r w:rsidRPr="000F3293">
              <w:rPr>
                <w:noProof/>
                <w:webHidden/>
              </w:rPr>
              <w:fldChar w:fldCharType="begin"/>
            </w:r>
            <w:r w:rsidRPr="000F3293">
              <w:rPr>
                <w:noProof/>
                <w:webHidden/>
              </w:rPr>
              <w:instrText xml:space="preserve"> PAGEREF _Toc233154573 \h </w:instrText>
            </w:r>
            <w:r w:rsidRPr="000F3293">
              <w:rPr>
                <w:noProof/>
                <w:webHidden/>
              </w:rPr>
            </w:r>
            <w:r w:rsidRPr="000F3293">
              <w:rPr>
                <w:noProof/>
                <w:webHidden/>
              </w:rPr>
              <w:fldChar w:fldCharType="separate"/>
            </w:r>
            <w:r w:rsidRPr="000F3293">
              <w:rPr>
                <w:noProof/>
                <w:webHidden/>
              </w:rPr>
              <w:t>37</w:t>
            </w:r>
            <w:r w:rsidRPr="000F3293">
              <w:rPr>
                <w:noProof/>
                <w:webHidden/>
              </w:rPr>
              <w:fldChar w:fldCharType="end"/>
            </w:r>
          </w:hyperlink>
        </w:p>
        <w:p w14:paraId="09D1BE09" w14:textId="4F707111"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4" w:history="1">
            <w:r w:rsidRPr="000F3293">
              <w:rPr>
                <w:rStyle w:val="-"/>
                <w:noProof/>
              </w:rPr>
              <w:t>2.1 Ρόλος ΜΜΕ και ψηφιακής επικοινωνίας</w:t>
            </w:r>
            <w:r w:rsidRPr="000F3293">
              <w:rPr>
                <w:noProof/>
                <w:webHidden/>
              </w:rPr>
              <w:tab/>
            </w:r>
            <w:r w:rsidRPr="000F3293">
              <w:rPr>
                <w:noProof/>
                <w:webHidden/>
              </w:rPr>
              <w:fldChar w:fldCharType="begin"/>
            </w:r>
            <w:r w:rsidRPr="000F3293">
              <w:rPr>
                <w:noProof/>
                <w:webHidden/>
              </w:rPr>
              <w:instrText xml:space="preserve"> PAGEREF _Toc233154574 \h </w:instrText>
            </w:r>
            <w:r w:rsidRPr="000F3293">
              <w:rPr>
                <w:noProof/>
                <w:webHidden/>
              </w:rPr>
            </w:r>
            <w:r w:rsidRPr="000F3293">
              <w:rPr>
                <w:noProof/>
                <w:webHidden/>
              </w:rPr>
              <w:fldChar w:fldCharType="separate"/>
            </w:r>
            <w:r w:rsidRPr="000F3293">
              <w:rPr>
                <w:noProof/>
                <w:webHidden/>
              </w:rPr>
              <w:t>37</w:t>
            </w:r>
            <w:r w:rsidRPr="000F3293">
              <w:rPr>
                <w:noProof/>
                <w:webHidden/>
              </w:rPr>
              <w:fldChar w:fldCharType="end"/>
            </w:r>
          </w:hyperlink>
        </w:p>
        <w:p w14:paraId="4E74197D" w14:textId="6AE98D56"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5" w:history="1">
            <w:r w:rsidRPr="000F3293">
              <w:rPr>
                <w:rStyle w:val="-"/>
                <w:noProof/>
              </w:rPr>
              <w:t>2.2 Στρατηγικές framing και storytelling</w:t>
            </w:r>
            <w:r w:rsidRPr="000F3293">
              <w:rPr>
                <w:noProof/>
                <w:webHidden/>
              </w:rPr>
              <w:tab/>
            </w:r>
            <w:r w:rsidRPr="000F3293">
              <w:rPr>
                <w:noProof/>
                <w:webHidden/>
              </w:rPr>
              <w:fldChar w:fldCharType="begin"/>
            </w:r>
            <w:r w:rsidRPr="000F3293">
              <w:rPr>
                <w:noProof/>
                <w:webHidden/>
              </w:rPr>
              <w:instrText xml:space="preserve"> PAGEREF _Toc233154575 \h </w:instrText>
            </w:r>
            <w:r w:rsidRPr="000F3293">
              <w:rPr>
                <w:noProof/>
                <w:webHidden/>
              </w:rPr>
            </w:r>
            <w:r w:rsidRPr="000F3293">
              <w:rPr>
                <w:noProof/>
                <w:webHidden/>
              </w:rPr>
              <w:fldChar w:fldCharType="separate"/>
            </w:r>
            <w:r w:rsidRPr="000F3293">
              <w:rPr>
                <w:noProof/>
                <w:webHidden/>
              </w:rPr>
              <w:t>38</w:t>
            </w:r>
            <w:r w:rsidRPr="000F3293">
              <w:rPr>
                <w:noProof/>
                <w:webHidden/>
              </w:rPr>
              <w:fldChar w:fldCharType="end"/>
            </w:r>
          </w:hyperlink>
        </w:p>
        <w:p w14:paraId="5702AF6B" w14:textId="5CC43254"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6" w:history="1">
            <w:r w:rsidRPr="000F3293">
              <w:rPr>
                <w:rStyle w:val="-"/>
                <w:noProof/>
              </w:rPr>
              <w:t>2.3 Επίδραση κοινής γνώμης στις πολιτικές αποφάσεις</w:t>
            </w:r>
            <w:r w:rsidRPr="000F3293">
              <w:rPr>
                <w:noProof/>
                <w:webHidden/>
              </w:rPr>
              <w:tab/>
            </w:r>
            <w:r w:rsidRPr="000F3293">
              <w:rPr>
                <w:noProof/>
                <w:webHidden/>
              </w:rPr>
              <w:fldChar w:fldCharType="begin"/>
            </w:r>
            <w:r w:rsidRPr="000F3293">
              <w:rPr>
                <w:noProof/>
                <w:webHidden/>
              </w:rPr>
              <w:instrText xml:space="preserve"> PAGEREF _Toc233154576 \h </w:instrText>
            </w:r>
            <w:r w:rsidRPr="000F3293">
              <w:rPr>
                <w:noProof/>
                <w:webHidden/>
              </w:rPr>
            </w:r>
            <w:r w:rsidRPr="000F3293">
              <w:rPr>
                <w:noProof/>
                <w:webHidden/>
              </w:rPr>
              <w:fldChar w:fldCharType="separate"/>
            </w:r>
            <w:r w:rsidRPr="000F3293">
              <w:rPr>
                <w:noProof/>
                <w:webHidden/>
              </w:rPr>
              <w:t>41</w:t>
            </w:r>
            <w:r w:rsidRPr="000F3293">
              <w:rPr>
                <w:noProof/>
                <w:webHidden/>
              </w:rPr>
              <w:fldChar w:fldCharType="end"/>
            </w:r>
          </w:hyperlink>
        </w:p>
        <w:p w14:paraId="1D108200" w14:textId="3A5FDF07"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7" w:history="1">
            <w:r w:rsidRPr="000F3293">
              <w:rPr>
                <w:rStyle w:val="-"/>
                <w:noProof/>
              </w:rPr>
              <w:t>2.4 Παραδείγματα καμπανιών υπέρ επαναπατρισμού</w:t>
            </w:r>
            <w:r w:rsidRPr="000F3293">
              <w:rPr>
                <w:noProof/>
                <w:webHidden/>
              </w:rPr>
              <w:tab/>
            </w:r>
            <w:r w:rsidRPr="000F3293">
              <w:rPr>
                <w:noProof/>
                <w:webHidden/>
              </w:rPr>
              <w:fldChar w:fldCharType="begin"/>
            </w:r>
            <w:r w:rsidRPr="000F3293">
              <w:rPr>
                <w:noProof/>
                <w:webHidden/>
              </w:rPr>
              <w:instrText xml:space="preserve"> PAGEREF _Toc233154577 \h </w:instrText>
            </w:r>
            <w:r w:rsidRPr="000F3293">
              <w:rPr>
                <w:noProof/>
                <w:webHidden/>
              </w:rPr>
            </w:r>
            <w:r w:rsidRPr="000F3293">
              <w:rPr>
                <w:noProof/>
                <w:webHidden/>
              </w:rPr>
              <w:fldChar w:fldCharType="separate"/>
            </w:r>
            <w:r w:rsidRPr="000F3293">
              <w:rPr>
                <w:noProof/>
                <w:webHidden/>
              </w:rPr>
              <w:t>41</w:t>
            </w:r>
            <w:r w:rsidRPr="000F3293">
              <w:rPr>
                <w:noProof/>
                <w:webHidden/>
              </w:rPr>
              <w:fldChar w:fldCharType="end"/>
            </w:r>
          </w:hyperlink>
        </w:p>
        <w:p w14:paraId="1D580395" w14:textId="7D46657E"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8" w:history="1">
            <w:r w:rsidRPr="000F3293">
              <w:rPr>
                <w:rStyle w:val="-"/>
                <w:noProof/>
              </w:rPr>
              <w:t>2.5 Διδάγματα από διεθνείς υποθέσεις επαναπατρισμού</w:t>
            </w:r>
            <w:r w:rsidRPr="000F3293">
              <w:rPr>
                <w:noProof/>
                <w:webHidden/>
              </w:rPr>
              <w:tab/>
            </w:r>
            <w:r w:rsidRPr="000F3293">
              <w:rPr>
                <w:noProof/>
                <w:webHidden/>
              </w:rPr>
              <w:fldChar w:fldCharType="begin"/>
            </w:r>
            <w:r w:rsidRPr="000F3293">
              <w:rPr>
                <w:noProof/>
                <w:webHidden/>
              </w:rPr>
              <w:instrText xml:space="preserve"> PAGEREF _Toc233154578 \h </w:instrText>
            </w:r>
            <w:r w:rsidRPr="000F3293">
              <w:rPr>
                <w:noProof/>
                <w:webHidden/>
              </w:rPr>
            </w:r>
            <w:r w:rsidRPr="000F3293">
              <w:rPr>
                <w:noProof/>
                <w:webHidden/>
              </w:rPr>
              <w:fldChar w:fldCharType="separate"/>
            </w:r>
            <w:r w:rsidRPr="000F3293">
              <w:rPr>
                <w:noProof/>
                <w:webHidden/>
              </w:rPr>
              <w:t>44</w:t>
            </w:r>
            <w:r w:rsidRPr="000F3293">
              <w:rPr>
                <w:noProof/>
                <w:webHidden/>
              </w:rPr>
              <w:fldChar w:fldCharType="end"/>
            </w:r>
          </w:hyperlink>
        </w:p>
        <w:p w14:paraId="548E2CD7" w14:textId="62FD3BCE"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79" w:history="1">
            <w:r w:rsidRPr="000F3293">
              <w:rPr>
                <w:rStyle w:val="-"/>
                <w:noProof/>
              </w:rPr>
              <w:t>2.5.1 Επιτυχημένες υποθέσεις</w:t>
            </w:r>
            <w:r w:rsidRPr="000F3293">
              <w:rPr>
                <w:noProof/>
                <w:webHidden/>
              </w:rPr>
              <w:tab/>
            </w:r>
            <w:r w:rsidRPr="000F3293">
              <w:rPr>
                <w:noProof/>
                <w:webHidden/>
              </w:rPr>
              <w:fldChar w:fldCharType="begin"/>
            </w:r>
            <w:r w:rsidRPr="000F3293">
              <w:rPr>
                <w:noProof/>
                <w:webHidden/>
              </w:rPr>
              <w:instrText xml:space="preserve"> PAGEREF _Toc233154579 \h </w:instrText>
            </w:r>
            <w:r w:rsidRPr="000F3293">
              <w:rPr>
                <w:noProof/>
                <w:webHidden/>
              </w:rPr>
            </w:r>
            <w:r w:rsidRPr="000F3293">
              <w:rPr>
                <w:noProof/>
                <w:webHidden/>
              </w:rPr>
              <w:fldChar w:fldCharType="separate"/>
            </w:r>
            <w:r w:rsidRPr="000F3293">
              <w:rPr>
                <w:noProof/>
                <w:webHidden/>
              </w:rPr>
              <w:t>44</w:t>
            </w:r>
            <w:r w:rsidRPr="000F3293">
              <w:rPr>
                <w:noProof/>
                <w:webHidden/>
              </w:rPr>
              <w:fldChar w:fldCharType="end"/>
            </w:r>
          </w:hyperlink>
        </w:p>
        <w:p w14:paraId="6D5B1968" w14:textId="2B3EF810"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80" w:history="1">
            <w:r w:rsidRPr="000F3293">
              <w:rPr>
                <w:rStyle w:val="-"/>
                <w:noProof/>
              </w:rPr>
              <w:t>2.5.2 Ανεπιτυχείς ή αμφιλεγόμενες υποθέσεις</w:t>
            </w:r>
            <w:r w:rsidRPr="000F3293">
              <w:rPr>
                <w:noProof/>
                <w:webHidden/>
              </w:rPr>
              <w:tab/>
            </w:r>
            <w:r w:rsidRPr="000F3293">
              <w:rPr>
                <w:noProof/>
                <w:webHidden/>
              </w:rPr>
              <w:fldChar w:fldCharType="begin"/>
            </w:r>
            <w:r w:rsidRPr="000F3293">
              <w:rPr>
                <w:noProof/>
                <w:webHidden/>
              </w:rPr>
              <w:instrText xml:space="preserve"> PAGEREF _Toc233154580 \h </w:instrText>
            </w:r>
            <w:r w:rsidRPr="000F3293">
              <w:rPr>
                <w:noProof/>
                <w:webHidden/>
              </w:rPr>
            </w:r>
            <w:r w:rsidRPr="000F3293">
              <w:rPr>
                <w:noProof/>
                <w:webHidden/>
              </w:rPr>
              <w:fldChar w:fldCharType="separate"/>
            </w:r>
            <w:r w:rsidRPr="000F3293">
              <w:rPr>
                <w:noProof/>
                <w:webHidden/>
              </w:rPr>
              <w:t>45</w:t>
            </w:r>
            <w:r w:rsidRPr="000F3293">
              <w:rPr>
                <w:noProof/>
                <w:webHidden/>
              </w:rPr>
              <w:fldChar w:fldCharType="end"/>
            </w:r>
          </w:hyperlink>
        </w:p>
        <w:p w14:paraId="5AEA9ACC" w14:textId="299E755B"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81" w:history="1">
            <w:r w:rsidRPr="000F3293">
              <w:rPr>
                <w:rStyle w:val="-"/>
                <w:noProof/>
              </w:rPr>
              <w:t>2.5.3 Παράγοντες επιτυχίας</w:t>
            </w:r>
            <w:r w:rsidRPr="000F3293">
              <w:rPr>
                <w:noProof/>
                <w:webHidden/>
              </w:rPr>
              <w:tab/>
            </w:r>
            <w:r w:rsidRPr="000F3293">
              <w:rPr>
                <w:noProof/>
                <w:webHidden/>
              </w:rPr>
              <w:fldChar w:fldCharType="begin"/>
            </w:r>
            <w:r w:rsidRPr="000F3293">
              <w:rPr>
                <w:noProof/>
                <w:webHidden/>
              </w:rPr>
              <w:instrText xml:space="preserve"> PAGEREF _Toc233154581 \h </w:instrText>
            </w:r>
            <w:r w:rsidRPr="000F3293">
              <w:rPr>
                <w:noProof/>
                <w:webHidden/>
              </w:rPr>
            </w:r>
            <w:r w:rsidRPr="000F3293">
              <w:rPr>
                <w:noProof/>
                <w:webHidden/>
              </w:rPr>
              <w:fldChar w:fldCharType="separate"/>
            </w:r>
            <w:r w:rsidRPr="000F3293">
              <w:rPr>
                <w:noProof/>
                <w:webHidden/>
              </w:rPr>
              <w:t>46</w:t>
            </w:r>
            <w:r w:rsidRPr="000F3293">
              <w:rPr>
                <w:noProof/>
                <w:webHidden/>
              </w:rPr>
              <w:fldChar w:fldCharType="end"/>
            </w:r>
          </w:hyperlink>
        </w:p>
        <w:p w14:paraId="7541733A" w14:textId="52A30489"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82" w:history="1">
            <w:r w:rsidRPr="000F3293">
              <w:rPr>
                <w:rStyle w:val="-"/>
                <w:noProof/>
              </w:rPr>
              <w:t>2.6 Συμπεράσματα ανασκόπησης</w:t>
            </w:r>
            <w:r w:rsidRPr="000F3293">
              <w:rPr>
                <w:noProof/>
                <w:webHidden/>
              </w:rPr>
              <w:tab/>
            </w:r>
            <w:r w:rsidRPr="000F3293">
              <w:rPr>
                <w:noProof/>
                <w:webHidden/>
              </w:rPr>
              <w:fldChar w:fldCharType="begin"/>
            </w:r>
            <w:r w:rsidRPr="000F3293">
              <w:rPr>
                <w:noProof/>
                <w:webHidden/>
              </w:rPr>
              <w:instrText xml:space="preserve"> PAGEREF _Toc233154582 \h </w:instrText>
            </w:r>
            <w:r w:rsidRPr="000F3293">
              <w:rPr>
                <w:noProof/>
                <w:webHidden/>
              </w:rPr>
            </w:r>
            <w:r w:rsidRPr="000F3293">
              <w:rPr>
                <w:noProof/>
                <w:webHidden/>
              </w:rPr>
              <w:fldChar w:fldCharType="separate"/>
            </w:r>
            <w:r w:rsidRPr="000F3293">
              <w:rPr>
                <w:noProof/>
                <w:webHidden/>
              </w:rPr>
              <w:t>51</w:t>
            </w:r>
            <w:r w:rsidRPr="000F3293">
              <w:rPr>
                <w:noProof/>
                <w:webHidden/>
              </w:rPr>
              <w:fldChar w:fldCharType="end"/>
            </w:r>
          </w:hyperlink>
        </w:p>
        <w:p w14:paraId="6AEE6038" w14:textId="21520238"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83" w:history="1">
            <w:r w:rsidRPr="000F3293">
              <w:rPr>
                <w:rStyle w:val="-"/>
                <w:noProof/>
              </w:rPr>
              <w:t>Κεφάλαιο 3. Μουσεία ως μελέτες περίπτωσης επαναπατρισμού και επιστροφής</w:t>
            </w:r>
            <w:r w:rsidRPr="000F3293">
              <w:rPr>
                <w:noProof/>
                <w:webHidden/>
              </w:rPr>
              <w:tab/>
            </w:r>
            <w:r w:rsidRPr="000F3293">
              <w:rPr>
                <w:noProof/>
                <w:webHidden/>
              </w:rPr>
              <w:fldChar w:fldCharType="begin"/>
            </w:r>
            <w:r w:rsidRPr="000F3293">
              <w:rPr>
                <w:noProof/>
                <w:webHidden/>
              </w:rPr>
              <w:instrText xml:space="preserve"> PAGEREF _Toc233154583 \h </w:instrText>
            </w:r>
            <w:r w:rsidRPr="000F3293">
              <w:rPr>
                <w:noProof/>
                <w:webHidden/>
              </w:rPr>
            </w:r>
            <w:r w:rsidRPr="000F3293">
              <w:rPr>
                <w:noProof/>
                <w:webHidden/>
              </w:rPr>
              <w:fldChar w:fldCharType="separate"/>
            </w:r>
            <w:r w:rsidRPr="000F3293">
              <w:rPr>
                <w:noProof/>
                <w:webHidden/>
              </w:rPr>
              <w:t>53</w:t>
            </w:r>
            <w:r w:rsidRPr="000F3293">
              <w:rPr>
                <w:noProof/>
                <w:webHidden/>
              </w:rPr>
              <w:fldChar w:fldCharType="end"/>
            </w:r>
          </w:hyperlink>
        </w:p>
        <w:p w14:paraId="55EE30C4" w14:textId="48144054" w:rsidR="002A183C" w:rsidRPr="000F3293" w:rsidRDefault="002A183C">
          <w:pPr>
            <w:pStyle w:val="20"/>
            <w:tabs>
              <w:tab w:val="right" w:leader="dot" w:pos="9350"/>
            </w:tabs>
            <w:rPr>
              <w:rFonts w:eastAsiaTheme="minorEastAsia" w:cstheme="minorBidi"/>
              <w:b w:val="0"/>
              <w:bCs w:val="0"/>
              <w:noProof/>
              <w:sz w:val="24"/>
              <w:szCs w:val="24"/>
              <w:lang w:eastAsia="el-GR"/>
            </w:rPr>
          </w:pPr>
          <w:hyperlink w:anchor="_Toc233154584" w:history="1">
            <w:r w:rsidRPr="000F3293">
              <w:rPr>
                <w:rStyle w:val="-"/>
                <w:rFonts w:ascii="Times New Roman" w:hAnsi="Times New Roman" w:cs="Times New Roman"/>
                <w:noProof/>
              </w:rPr>
              <w:t>3.1 Μουσείο Ακρόπολης, το μουσείο υποδοχής και το επιχείρημα της επανένωσης</w:t>
            </w:r>
            <w:r w:rsidRPr="000F3293">
              <w:rPr>
                <w:noProof/>
                <w:webHidden/>
              </w:rPr>
              <w:tab/>
            </w:r>
            <w:r w:rsidRPr="000F3293">
              <w:rPr>
                <w:noProof/>
                <w:webHidden/>
              </w:rPr>
              <w:fldChar w:fldCharType="begin"/>
            </w:r>
            <w:r w:rsidRPr="000F3293">
              <w:rPr>
                <w:noProof/>
                <w:webHidden/>
              </w:rPr>
              <w:instrText xml:space="preserve"> PAGEREF _Toc233154584 \h </w:instrText>
            </w:r>
            <w:r w:rsidRPr="000F3293">
              <w:rPr>
                <w:noProof/>
                <w:webHidden/>
              </w:rPr>
            </w:r>
            <w:r w:rsidRPr="000F3293">
              <w:rPr>
                <w:noProof/>
                <w:webHidden/>
              </w:rPr>
              <w:fldChar w:fldCharType="separate"/>
            </w:r>
            <w:r w:rsidRPr="000F3293">
              <w:rPr>
                <w:noProof/>
                <w:webHidden/>
              </w:rPr>
              <w:t>53</w:t>
            </w:r>
            <w:r w:rsidRPr="000F3293">
              <w:rPr>
                <w:noProof/>
                <w:webHidden/>
              </w:rPr>
              <w:fldChar w:fldCharType="end"/>
            </w:r>
          </w:hyperlink>
        </w:p>
        <w:p w14:paraId="2DD1A2C0" w14:textId="06353831" w:rsidR="002A183C" w:rsidRPr="000F3293" w:rsidRDefault="002A183C">
          <w:pPr>
            <w:pStyle w:val="20"/>
            <w:tabs>
              <w:tab w:val="right" w:leader="dot" w:pos="9350"/>
            </w:tabs>
            <w:rPr>
              <w:rFonts w:eastAsiaTheme="minorEastAsia" w:cstheme="minorBidi"/>
              <w:b w:val="0"/>
              <w:bCs w:val="0"/>
              <w:noProof/>
              <w:sz w:val="24"/>
              <w:szCs w:val="24"/>
              <w:lang w:eastAsia="el-GR"/>
            </w:rPr>
          </w:pPr>
          <w:hyperlink w:anchor="_Toc233154585" w:history="1">
            <w:r w:rsidRPr="000F3293">
              <w:rPr>
                <w:rStyle w:val="-"/>
                <w:rFonts w:ascii="Times New Roman" w:hAnsi="Times New Roman" w:cs="Times New Roman"/>
                <w:noProof/>
              </w:rPr>
              <w:t>3.2 Βρετανικό Μουσείο, ο θεσμός κατοχής, η νομική ακαμψία και το επιχείρημα του universal museum</w:t>
            </w:r>
            <w:r w:rsidRPr="000F3293">
              <w:rPr>
                <w:noProof/>
                <w:webHidden/>
              </w:rPr>
              <w:tab/>
            </w:r>
            <w:r w:rsidRPr="000F3293">
              <w:rPr>
                <w:noProof/>
                <w:webHidden/>
              </w:rPr>
              <w:fldChar w:fldCharType="begin"/>
            </w:r>
            <w:r w:rsidRPr="000F3293">
              <w:rPr>
                <w:noProof/>
                <w:webHidden/>
              </w:rPr>
              <w:instrText xml:space="preserve"> PAGEREF _Toc233154585 \h </w:instrText>
            </w:r>
            <w:r w:rsidRPr="000F3293">
              <w:rPr>
                <w:noProof/>
                <w:webHidden/>
              </w:rPr>
            </w:r>
            <w:r w:rsidRPr="000F3293">
              <w:rPr>
                <w:noProof/>
                <w:webHidden/>
              </w:rPr>
              <w:fldChar w:fldCharType="separate"/>
            </w:r>
            <w:r w:rsidRPr="000F3293">
              <w:rPr>
                <w:noProof/>
                <w:webHidden/>
              </w:rPr>
              <w:t>57</w:t>
            </w:r>
            <w:r w:rsidRPr="000F3293">
              <w:rPr>
                <w:noProof/>
                <w:webHidden/>
              </w:rPr>
              <w:fldChar w:fldCharType="end"/>
            </w:r>
          </w:hyperlink>
        </w:p>
        <w:p w14:paraId="5E5D6788" w14:textId="5AA7290B" w:rsidR="002A183C" w:rsidRPr="000F3293" w:rsidRDefault="002A183C">
          <w:pPr>
            <w:pStyle w:val="20"/>
            <w:tabs>
              <w:tab w:val="right" w:leader="dot" w:pos="9350"/>
            </w:tabs>
            <w:rPr>
              <w:rFonts w:eastAsiaTheme="minorEastAsia" w:cstheme="minorBidi"/>
              <w:b w:val="0"/>
              <w:bCs w:val="0"/>
              <w:noProof/>
              <w:sz w:val="24"/>
              <w:szCs w:val="24"/>
              <w:lang w:eastAsia="el-GR"/>
            </w:rPr>
          </w:pPr>
          <w:hyperlink w:anchor="_Toc233154586" w:history="1">
            <w:r w:rsidRPr="000F3293">
              <w:rPr>
                <w:rStyle w:val="-"/>
                <w:rFonts w:ascii="Times New Roman" w:hAnsi="Times New Roman" w:cs="Times New Roman"/>
                <w:noProof/>
              </w:rPr>
              <w:t>3.3 Horniman Museum, από τη διαβούλευση στη μεταβίβαση κυριότητας, και η συμβολή του αρχαιολόγου Nick Merriman</w:t>
            </w:r>
            <w:r w:rsidRPr="000F3293">
              <w:rPr>
                <w:noProof/>
                <w:webHidden/>
              </w:rPr>
              <w:tab/>
            </w:r>
            <w:r w:rsidRPr="000F3293">
              <w:rPr>
                <w:noProof/>
                <w:webHidden/>
              </w:rPr>
              <w:fldChar w:fldCharType="begin"/>
            </w:r>
            <w:r w:rsidRPr="000F3293">
              <w:rPr>
                <w:noProof/>
                <w:webHidden/>
              </w:rPr>
              <w:instrText xml:space="preserve"> PAGEREF _Toc233154586 \h </w:instrText>
            </w:r>
            <w:r w:rsidRPr="000F3293">
              <w:rPr>
                <w:noProof/>
                <w:webHidden/>
              </w:rPr>
            </w:r>
            <w:r w:rsidRPr="000F3293">
              <w:rPr>
                <w:noProof/>
                <w:webHidden/>
              </w:rPr>
              <w:fldChar w:fldCharType="separate"/>
            </w:r>
            <w:r w:rsidRPr="000F3293">
              <w:rPr>
                <w:noProof/>
                <w:webHidden/>
              </w:rPr>
              <w:t>63</w:t>
            </w:r>
            <w:r w:rsidRPr="000F3293">
              <w:rPr>
                <w:noProof/>
                <w:webHidden/>
              </w:rPr>
              <w:fldChar w:fldCharType="end"/>
            </w:r>
          </w:hyperlink>
        </w:p>
        <w:p w14:paraId="4059A6B2" w14:textId="47FF672D" w:rsidR="002A183C" w:rsidRPr="000F3293" w:rsidRDefault="002A183C">
          <w:pPr>
            <w:pStyle w:val="20"/>
            <w:tabs>
              <w:tab w:val="right" w:leader="dot" w:pos="9350"/>
            </w:tabs>
            <w:rPr>
              <w:rFonts w:eastAsiaTheme="minorEastAsia" w:cstheme="minorBidi"/>
              <w:b w:val="0"/>
              <w:bCs w:val="0"/>
              <w:noProof/>
              <w:sz w:val="24"/>
              <w:szCs w:val="24"/>
              <w:lang w:eastAsia="el-GR"/>
            </w:rPr>
          </w:pPr>
          <w:hyperlink w:anchor="_Toc233154587" w:history="1">
            <w:r w:rsidRPr="000F3293">
              <w:rPr>
                <w:rStyle w:val="-"/>
                <w:rFonts w:ascii="Times New Roman" w:hAnsi="Times New Roman" w:cs="Times New Roman"/>
                <w:noProof/>
              </w:rPr>
              <w:t>3.4 Συγκριτική αποτίμηση των τριών μουσείων</w:t>
            </w:r>
            <w:r w:rsidRPr="000F3293">
              <w:rPr>
                <w:noProof/>
                <w:webHidden/>
              </w:rPr>
              <w:tab/>
            </w:r>
            <w:r w:rsidRPr="000F3293">
              <w:rPr>
                <w:noProof/>
                <w:webHidden/>
              </w:rPr>
              <w:fldChar w:fldCharType="begin"/>
            </w:r>
            <w:r w:rsidRPr="000F3293">
              <w:rPr>
                <w:noProof/>
                <w:webHidden/>
              </w:rPr>
              <w:instrText xml:space="preserve"> PAGEREF _Toc233154587 \h </w:instrText>
            </w:r>
            <w:r w:rsidRPr="000F3293">
              <w:rPr>
                <w:noProof/>
                <w:webHidden/>
              </w:rPr>
            </w:r>
            <w:r w:rsidRPr="000F3293">
              <w:rPr>
                <w:noProof/>
                <w:webHidden/>
              </w:rPr>
              <w:fldChar w:fldCharType="separate"/>
            </w:r>
            <w:r w:rsidRPr="000F3293">
              <w:rPr>
                <w:noProof/>
                <w:webHidden/>
              </w:rPr>
              <w:t>68</w:t>
            </w:r>
            <w:r w:rsidRPr="000F3293">
              <w:rPr>
                <w:noProof/>
                <w:webHidden/>
              </w:rPr>
              <w:fldChar w:fldCharType="end"/>
            </w:r>
          </w:hyperlink>
        </w:p>
        <w:p w14:paraId="4A5CCFC8" w14:textId="48DF3F69"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88" w:history="1">
            <w:r w:rsidRPr="000F3293">
              <w:rPr>
                <w:rStyle w:val="-"/>
                <w:noProof/>
              </w:rPr>
              <w:t>Κεφάλαιο 4. Συμπεράσματα</w:t>
            </w:r>
            <w:r w:rsidRPr="000F3293">
              <w:rPr>
                <w:noProof/>
                <w:webHidden/>
              </w:rPr>
              <w:tab/>
            </w:r>
            <w:r w:rsidRPr="000F3293">
              <w:rPr>
                <w:noProof/>
                <w:webHidden/>
              </w:rPr>
              <w:fldChar w:fldCharType="begin"/>
            </w:r>
            <w:r w:rsidRPr="000F3293">
              <w:rPr>
                <w:noProof/>
                <w:webHidden/>
              </w:rPr>
              <w:instrText xml:space="preserve"> PAGEREF _Toc233154588 \h </w:instrText>
            </w:r>
            <w:r w:rsidRPr="000F3293">
              <w:rPr>
                <w:noProof/>
                <w:webHidden/>
              </w:rPr>
            </w:r>
            <w:r w:rsidRPr="000F3293">
              <w:rPr>
                <w:noProof/>
                <w:webHidden/>
              </w:rPr>
              <w:fldChar w:fldCharType="separate"/>
            </w:r>
            <w:r w:rsidRPr="000F3293">
              <w:rPr>
                <w:noProof/>
                <w:webHidden/>
              </w:rPr>
              <w:t>74</w:t>
            </w:r>
            <w:r w:rsidRPr="000F3293">
              <w:rPr>
                <w:noProof/>
                <w:webHidden/>
              </w:rPr>
              <w:fldChar w:fldCharType="end"/>
            </w:r>
          </w:hyperlink>
        </w:p>
        <w:p w14:paraId="659C12AE" w14:textId="3EBFF33A"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89" w:history="1">
            <w:r w:rsidRPr="000F3293">
              <w:rPr>
                <w:rStyle w:val="-"/>
                <w:noProof/>
              </w:rPr>
              <w:t>Επίλογος</w:t>
            </w:r>
            <w:r w:rsidRPr="000F3293">
              <w:rPr>
                <w:noProof/>
                <w:webHidden/>
              </w:rPr>
              <w:tab/>
            </w:r>
            <w:r w:rsidRPr="000F3293">
              <w:rPr>
                <w:noProof/>
                <w:webHidden/>
              </w:rPr>
              <w:fldChar w:fldCharType="begin"/>
            </w:r>
            <w:r w:rsidRPr="000F3293">
              <w:rPr>
                <w:noProof/>
                <w:webHidden/>
              </w:rPr>
              <w:instrText xml:space="preserve"> PAGEREF _Toc233154589 \h </w:instrText>
            </w:r>
            <w:r w:rsidRPr="000F3293">
              <w:rPr>
                <w:noProof/>
                <w:webHidden/>
              </w:rPr>
            </w:r>
            <w:r w:rsidRPr="000F3293">
              <w:rPr>
                <w:noProof/>
                <w:webHidden/>
              </w:rPr>
              <w:fldChar w:fldCharType="separate"/>
            </w:r>
            <w:r w:rsidRPr="000F3293">
              <w:rPr>
                <w:noProof/>
                <w:webHidden/>
              </w:rPr>
              <w:t>80</w:t>
            </w:r>
            <w:r w:rsidRPr="000F3293">
              <w:rPr>
                <w:noProof/>
                <w:webHidden/>
              </w:rPr>
              <w:fldChar w:fldCharType="end"/>
            </w:r>
          </w:hyperlink>
        </w:p>
        <w:p w14:paraId="2F85940C" w14:textId="69237147" w:rsidR="002A183C" w:rsidRPr="000F3293" w:rsidRDefault="002A183C">
          <w:pPr>
            <w:pStyle w:val="10"/>
            <w:tabs>
              <w:tab w:val="right" w:leader="dot" w:pos="9350"/>
            </w:tabs>
            <w:rPr>
              <w:rFonts w:eastAsiaTheme="minorEastAsia" w:cstheme="minorBidi"/>
              <w:b w:val="0"/>
              <w:bCs w:val="0"/>
              <w:i w:val="0"/>
              <w:iCs w:val="0"/>
              <w:noProof/>
              <w:lang w:eastAsia="el-GR"/>
            </w:rPr>
          </w:pPr>
          <w:hyperlink w:anchor="_Toc233154590" w:history="1">
            <w:r w:rsidRPr="000F3293">
              <w:rPr>
                <w:rStyle w:val="-"/>
                <w:noProof/>
              </w:rPr>
              <w:t>Βιβλιογραφία</w:t>
            </w:r>
            <w:r w:rsidRPr="000F3293">
              <w:rPr>
                <w:noProof/>
                <w:webHidden/>
              </w:rPr>
              <w:tab/>
            </w:r>
            <w:r w:rsidRPr="000F3293">
              <w:rPr>
                <w:noProof/>
                <w:webHidden/>
              </w:rPr>
              <w:fldChar w:fldCharType="begin"/>
            </w:r>
            <w:r w:rsidRPr="000F3293">
              <w:rPr>
                <w:noProof/>
                <w:webHidden/>
              </w:rPr>
              <w:instrText xml:space="preserve"> PAGEREF _Toc233154590 \h </w:instrText>
            </w:r>
            <w:r w:rsidRPr="000F3293">
              <w:rPr>
                <w:noProof/>
                <w:webHidden/>
              </w:rPr>
            </w:r>
            <w:r w:rsidRPr="000F3293">
              <w:rPr>
                <w:noProof/>
                <w:webHidden/>
              </w:rPr>
              <w:fldChar w:fldCharType="separate"/>
            </w:r>
            <w:r w:rsidRPr="000F3293">
              <w:rPr>
                <w:noProof/>
                <w:webHidden/>
              </w:rPr>
              <w:t>85</w:t>
            </w:r>
            <w:r w:rsidRPr="000F3293">
              <w:rPr>
                <w:noProof/>
                <w:webHidden/>
              </w:rPr>
              <w:fldChar w:fldCharType="end"/>
            </w:r>
          </w:hyperlink>
        </w:p>
        <w:p w14:paraId="42A1B8FE" w14:textId="328D6D59" w:rsidR="00CD13AD" w:rsidRPr="000F3293" w:rsidRDefault="00CD13AD" w:rsidP="001302F0">
          <w:pPr>
            <w:spacing w:line="360" w:lineRule="auto"/>
            <w:jc w:val="both"/>
            <w:rPr>
              <w:rFonts w:cs="Times New Roman"/>
              <w:szCs w:val="24"/>
            </w:rPr>
          </w:pPr>
          <w:r w:rsidRPr="000F3293">
            <w:rPr>
              <w:rFonts w:cs="Times New Roman"/>
              <w:noProof/>
              <w:szCs w:val="24"/>
            </w:rPr>
            <w:fldChar w:fldCharType="end"/>
          </w:r>
        </w:p>
      </w:sdtContent>
    </w:sdt>
    <w:p w14:paraId="5142BCF1" w14:textId="77777777" w:rsidR="00CD13AD" w:rsidRPr="000F3293" w:rsidRDefault="00CD13AD" w:rsidP="001302F0">
      <w:pPr>
        <w:pStyle w:val="1"/>
        <w:rPr>
          <w:sz w:val="24"/>
          <w:szCs w:val="24"/>
        </w:rPr>
      </w:pPr>
    </w:p>
    <w:p w14:paraId="19E51750" w14:textId="77777777" w:rsidR="00F05D0C" w:rsidRPr="000F3293" w:rsidRDefault="00F05D0C" w:rsidP="00C52CFB">
      <w:pPr>
        <w:rPr>
          <w:rFonts w:cs="Times New Roman"/>
        </w:rPr>
      </w:pPr>
    </w:p>
    <w:p w14:paraId="604E06B6" w14:textId="77777777" w:rsidR="00531BBB" w:rsidRPr="000F3293" w:rsidRDefault="00531BBB" w:rsidP="00C52CFB">
      <w:pPr>
        <w:rPr>
          <w:rFonts w:cs="Times New Roman"/>
        </w:rPr>
      </w:pPr>
    </w:p>
    <w:p w14:paraId="3EF018EF" w14:textId="77777777" w:rsidR="002A183C" w:rsidRPr="000F3293" w:rsidRDefault="002A183C" w:rsidP="00C52CFB">
      <w:pPr>
        <w:rPr>
          <w:rFonts w:cs="Times New Roman"/>
        </w:rPr>
      </w:pPr>
    </w:p>
    <w:p w14:paraId="086B233B" w14:textId="77777777" w:rsidR="002A183C" w:rsidRPr="000F3293" w:rsidRDefault="002A183C" w:rsidP="00C52CFB">
      <w:pPr>
        <w:rPr>
          <w:rFonts w:cs="Times New Roman"/>
        </w:rPr>
      </w:pPr>
    </w:p>
    <w:p w14:paraId="5524F063" w14:textId="77777777" w:rsidR="002A183C" w:rsidRPr="000F3293" w:rsidRDefault="002A183C" w:rsidP="00C52CFB">
      <w:pPr>
        <w:rPr>
          <w:rFonts w:cs="Times New Roman"/>
        </w:rPr>
      </w:pPr>
    </w:p>
    <w:p w14:paraId="2B1405B2" w14:textId="77777777" w:rsidR="002A183C" w:rsidRPr="000F3293" w:rsidRDefault="002A183C" w:rsidP="00C52CFB">
      <w:pPr>
        <w:rPr>
          <w:rFonts w:cs="Times New Roman"/>
        </w:rPr>
      </w:pPr>
    </w:p>
    <w:p w14:paraId="1D91DDD9" w14:textId="77777777" w:rsidR="002A183C" w:rsidRPr="000F3293" w:rsidRDefault="002A183C" w:rsidP="00C52CFB">
      <w:pPr>
        <w:rPr>
          <w:rFonts w:cs="Times New Roman"/>
        </w:rPr>
      </w:pPr>
    </w:p>
    <w:p w14:paraId="7EE6FC7A" w14:textId="77777777" w:rsidR="002A183C" w:rsidRPr="000F3293" w:rsidRDefault="002A183C" w:rsidP="00C52CFB">
      <w:pPr>
        <w:rPr>
          <w:rFonts w:cs="Times New Roman"/>
        </w:rPr>
      </w:pPr>
    </w:p>
    <w:p w14:paraId="31B59A65" w14:textId="77777777" w:rsidR="002A183C" w:rsidRPr="000F3293" w:rsidRDefault="002A183C" w:rsidP="00C52CFB">
      <w:pPr>
        <w:rPr>
          <w:rFonts w:cs="Times New Roman"/>
        </w:rPr>
      </w:pPr>
    </w:p>
    <w:p w14:paraId="48ABC5E7" w14:textId="5196AF0C" w:rsidR="0043019D" w:rsidRPr="000F3293" w:rsidRDefault="0043019D" w:rsidP="001358B2">
      <w:pPr>
        <w:pStyle w:val="1"/>
        <w:rPr>
          <w:lang w:val="tr-TR"/>
        </w:rPr>
      </w:pPr>
      <w:bookmarkStart w:id="4" w:name="_Toc233154556"/>
      <w:r w:rsidRPr="000F3293">
        <w:lastRenderedPageBreak/>
        <w:t>Εισαγωγή</w:t>
      </w:r>
      <w:bookmarkEnd w:id="4"/>
    </w:p>
    <w:p w14:paraId="00D417D2" w14:textId="77777777" w:rsidR="0043019D" w:rsidRPr="000F3293" w:rsidRDefault="0043019D" w:rsidP="0043019D">
      <w:pPr>
        <w:spacing w:line="360" w:lineRule="auto"/>
        <w:jc w:val="both"/>
        <w:rPr>
          <w:rFonts w:cs="Times New Roman"/>
        </w:rPr>
      </w:pPr>
      <w:r w:rsidRPr="000F3293">
        <w:rPr>
          <w:rFonts w:cs="Times New Roman"/>
        </w:rPr>
        <w:t xml:space="preserve">Το ζήτημα του επαναπατρισμού και της επιστροφής πολιτιστικών αγαθών αποτελεί σήμερα ένα από τα πιο δυναμικά και αμφιλεγόμενα πεδία της διεθνούς πολιτιστικής πολιτικής. Η συζήτηση δεν αφορά μόνο την τύχη επιμέρους αντικειμένων ή συλλογών, αλλά αγγίζει θεμελιώδη ερωτήματα για την ιστορική δικαιοσύνη, τη νομιμότητα της κατοχής, την πολιτιστική κυριαρχία, τη δημόσια γνώση και τον ρόλο των μουσείων στον σύγχρονο κόσμο. Από τη μία πλευρά, τα μουσεία εξακολουθούν να προβάλλονται ως θεσμοί διατήρησης, έρευνας και εκπαίδευσης, με αποστολή την πρόσβαση του κοινού στην παγκόσμια πολιτιστική κληρονομιά. Από την άλλη, η κριτική που ασκείται στις αποικιακές βιογραφίες πολλών συλλογών, στις πρακτικές βίαιης αφαίρεσης και στις άνισες ιστορικές συνθήκες απόκτησης έχει ενισχύσει τη θέση ότι η κατοχή δεν μπορεί να αξιολογείται μόνο με όρους συντήρησης ή </w:t>
      </w:r>
      <w:proofErr w:type="spellStart"/>
      <w:r w:rsidRPr="000F3293">
        <w:rPr>
          <w:rFonts w:cs="Times New Roman"/>
        </w:rPr>
        <w:t>επισκεψιμότητας</w:t>
      </w:r>
      <w:proofErr w:type="spellEnd"/>
      <w:r w:rsidRPr="000F3293">
        <w:rPr>
          <w:rFonts w:cs="Times New Roman"/>
        </w:rPr>
        <w:t>, αλλά και με όρους ηθικής, πολιτικής και ιστορικής λογοδοσίας (</w:t>
      </w:r>
      <w:r w:rsidRPr="000F3293">
        <w:rPr>
          <w:rFonts w:cs="Times New Roman"/>
          <w:lang w:val="en-US"/>
        </w:rPr>
        <w:t>Greenfield</w:t>
      </w:r>
      <w:r w:rsidRPr="000F3293">
        <w:rPr>
          <w:rFonts w:cs="Times New Roman"/>
        </w:rPr>
        <w:t xml:space="preserve">, 2007, </w:t>
      </w:r>
      <w:r w:rsidRPr="000F3293">
        <w:rPr>
          <w:rFonts w:cs="Times New Roman"/>
          <w:lang w:val="en-US"/>
        </w:rPr>
        <w:t>Hicks</w:t>
      </w:r>
      <w:r w:rsidRPr="000F3293">
        <w:rPr>
          <w:rFonts w:cs="Times New Roman"/>
        </w:rPr>
        <w:t xml:space="preserve">, 2020, </w:t>
      </w:r>
      <w:r w:rsidRPr="000F3293">
        <w:rPr>
          <w:rFonts w:cs="Times New Roman"/>
          <w:lang w:val="en-US"/>
        </w:rPr>
        <w:t>Savoy</w:t>
      </w:r>
      <w:r w:rsidRPr="000F3293">
        <w:rPr>
          <w:rFonts w:cs="Times New Roman"/>
        </w:rPr>
        <w:t>, 2022).</w:t>
      </w:r>
    </w:p>
    <w:p w14:paraId="63A29227" w14:textId="77777777" w:rsidR="0043019D" w:rsidRPr="000F3293" w:rsidRDefault="0043019D" w:rsidP="0043019D">
      <w:pPr>
        <w:spacing w:line="360" w:lineRule="auto"/>
        <w:ind w:firstLine="720"/>
        <w:jc w:val="both"/>
        <w:rPr>
          <w:rFonts w:cs="Times New Roman"/>
        </w:rPr>
      </w:pPr>
      <w:r w:rsidRPr="000F3293">
        <w:rPr>
          <w:rFonts w:cs="Times New Roman"/>
        </w:rPr>
        <w:t>Σε αυτό το πλαίσιο, η παρούσα εργασία προσεγγίζει το πεδίο του επαναπατρισμού όχι ως απλό νομικό πρόβλημα ούτε ως αποκλειστικά διμερές διπλωματικό ζήτημα, αλλά ως σύνθετο φαινόμενο που συγκροτείται στη διασταύρωση του δικαίου, της πολιτιστικής διπλωματίας, της μουσειακής διακυβέρνησης και της δημόσιας επικοινωνίας. Το ερευνητικό ενδιαφέρον εστιάζει ιδιαίτερα στο πώς τα ίδια τα μουσεία παράγουν νοήματα και θέσεις για το παρελθόν. Με άλλα λόγια, η εργασία ξεκινά από την παραδοχή ότι τα μουσεία δεν είναι ουδέτεροι χώροι αποθήκευσης ή έκθεσης, αλλά ενεργοί θεσμοί που οργανώνουν αφηγήσεις, διαμορφώνουν ερμηνευτικές ιεραρχίες και επηρεάζουν τον τρόπο με τον οποίο γίνονται αντιληπτά η ιδιοκτησία, η ιστορική νομιμότητα και το δημόσιο όφελος (</w:t>
      </w:r>
      <w:r w:rsidRPr="000F3293">
        <w:rPr>
          <w:rFonts w:cs="Times New Roman"/>
          <w:lang w:val="en-US"/>
        </w:rPr>
        <w:t>Gray</w:t>
      </w:r>
      <w:r w:rsidRPr="000F3293">
        <w:rPr>
          <w:rFonts w:cs="Times New Roman"/>
        </w:rPr>
        <w:t xml:space="preserve">, 2015, </w:t>
      </w:r>
      <w:proofErr w:type="spellStart"/>
      <w:r w:rsidRPr="000F3293">
        <w:rPr>
          <w:rFonts w:cs="Times New Roman"/>
          <w:lang w:val="en-US"/>
        </w:rPr>
        <w:t>Grincheva</w:t>
      </w:r>
      <w:proofErr w:type="spellEnd"/>
      <w:r w:rsidRPr="000F3293">
        <w:rPr>
          <w:rFonts w:cs="Times New Roman"/>
        </w:rPr>
        <w:t>, 2024).</w:t>
      </w:r>
    </w:p>
    <w:p w14:paraId="6ECDCB37" w14:textId="77777777" w:rsidR="0043019D" w:rsidRPr="000F3293" w:rsidRDefault="0043019D" w:rsidP="0043019D">
      <w:pPr>
        <w:spacing w:line="360" w:lineRule="auto"/>
        <w:ind w:firstLine="720"/>
        <w:jc w:val="both"/>
        <w:rPr>
          <w:rFonts w:cs="Times New Roman"/>
        </w:rPr>
      </w:pPr>
      <w:r w:rsidRPr="000F3293">
        <w:rPr>
          <w:rFonts w:cs="Times New Roman"/>
        </w:rPr>
        <w:t>Η διεθνής βιβλιογραφία έχει δείξει ότι η αντιπαράθεση γύρω από τα πολιτιστικά αγαθά διαμορφώνεται συχνά ανάμεσα σε δύο μεγάλες θεωρητικές τάσεις. Η πρώτη είναι η πολιτιστικά εθνική προσέγγιση, σύμφωνα με την οποία τα πολιτιστικά αγαθά αποτελούν αναπόσπαστο μέρος της ιστορικής μνήμης και της ταυτότητας της χώρας ή της κοινότητας προέλευσής τους. Η δεύτερη είναι η διεθνιστική ή οικουμενική προσέγγιση, η οποία θεωρεί ότι ορισμένα αντικείμενα αποκτούν ευρύτερη αξία όταν εκτίθενται σε μεγάλα μουσεία διεθνούς εμβέλειας και εντάσσονται σε συγκριτικές αφηγήσεις για την παγκόσμια ιστορία (</w:t>
      </w:r>
      <w:r w:rsidRPr="000F3293">
        <w:rPr>
          <w:rFonts w:cs="Times New Roman"/>
          <w:lang w:val="en-US"/>
        </w:rPr>
        <w:t>Merryman</w:t>
      </w:r>
      <w:r w:rsidRPr="000F3293">
        <w:rPr>
          <w:rFonts w:cs="Times New Roman"/>
        </w:rPr>
        <w:t xml:space="preserve">, 1985, 2005, </w:t>
      </w:r>
      <w:r w:rsidRPr="000F3293">
        <w:rPr>
          <w:rFonts w:cs="Times New Roman"/>
          <w:lang w:val="en-US"/>
        </w:rPr>
        <w:t>Cuno</w:t>
      </w:r>
      <w:r w:rsidRPr="000F3293">
        <w:rPr>
          <w:rFonts w:cs="Times New Roman"/>
        </w:rPr>
        <w:t xml:space="preserve">, 2011). Η αντιπαράθεση αυτή δεν είναι θεωρητικά αφηρημένη. Αποτυπώνεται σε συγκεκριμένες πρακτικές, </w:t>
      </w:r>
      <w:r w:rsidRPr="000F3293">
        <w:rPr>
          <w:rFonts w:cs="Times New Roman"/>
        </w:rPr>
        <w:lastRenderedPageBreak/>
        <w:t>σε νομοθετικές ρυθμίσεις, σε διοικητικές επιλογές και σε επίσημες δηλώσεις μουσείων και κρατών.</w:t>
      </w:r>
    </w:p>
    <w:p w14:paraId="67F9FB9B" w14:textId="77777777" w:rsidR="0043019D" w:rsidRPr="000F3293" w:rsidRDefault="0043019D" w:rsidP="0043019D">
      <w:pPr>
        <w:spacing w:line="360" w:lineRule="auto"/>
        <w:ind w:firstLine="720"/>
        <w:jc w:val="both"/>
        <w:rPr>
          <w:rFonts w:cs="Times New Roman"/>
        </w:rPr>
      </w:pPr>
      <w:r w:rsidRPr="000F3293">
        <w:rPr>
          <w:rFonts w:cs="Times New Roman"/>
        </w:rPr>
        <w:t xml:space="preserve">Στην περίπτωση των Γλυπτών του Παρθενώνα, για παράδειγμα, το αίτημα της επανένωσης συνδέεται με την ακεραιότητα ενός μοναδικού μνημειακού συνόλου και με την ανάγκη αποκατάστασης του </w:t>
      </w:r>
      <w:proofErr w:type="spellStart"/>
      <w:r w:rsidRPr="000F3293">
        <w:rPr>
          <w:rFonts w:cs="Times New Roman"/>
        </w:rPr>
        <w:t>συμφραζομένου</w:t>
      </w:r>
      <w:proofErr w:type="spellEnd"/>
      <w:r w:rsidRPr="000F3293">
        <w:rPr>
          <w:rFonts w:cs="Times New Roman"/>
        </w:rPr>
        <w:t xml:space="preserve"> του. Η ελληνική πλευρά έχει επανειλημμένα στηρίξει τη θέση της στο γεγονός ότι τα γλυπτά δεν αποτελούν αυτόνομα αντικείμενα, αλλά τμήματα ενός ενιαίου μνημείου, του οποίου η κατανόηση προϋποθέτει τη συνοχή στον τόπο δημιουργίας του (</w:t>
      </w:r>
      <w:r w:rsidRPr="000F3293">
        <w:rPr>
          <w:rFonts w:cs="Times New Roman"/>
          <w:lang w:val="en-US"/>
        </w:rPr>
        <w:t>Gazi</w:t>
      </w:r>
      <w:r w:rsidRPr="000F3293">
        <w:rPr>
          <w:rFonts w:cs="Times New Roman"/>
        </w:rPr>
        <w:t xml:space="preserve">, 1990, </w:t>
      </w:r>
      <w:proofErr w:type="spellStart"/>
      <w:r w:rsidRPr="000F3293">
        <w:rPr>
          <w:rFonts w:cs="Times New Roman"/>
          <w:lang w:val="en-US"/>
        </w:rPr>
        <w:t>Stamatoudi</w:t>
      </w:r>
      <w:proofErr w:type="spellEnd"/>
      <w:r w:rsidRPr="000F3293">
        <w:rPr>
          <w:rFonts w:cs="Times New Roman"/>
        </w:rPr>
        <w:t>, 2022). Αντίθετα, το Βρετανικό Μουσείο επιμένει στη λογική της νόμιμης απόκτησης, της ιστορικής κοινοβουλευτικής κύρωσης και του δημόσιου οφέλους που, κατά τη δική του ερμηνεία, εξυπηρετείται καλύτερα όταν τα γλυπτά παραμένουν διαμοιρασμένα ανάμεσα στην Αθήνα και το Λονδίνο μέσα σε δύο διαφορετικά αλλά συμπληρωματικά μουσειακά περιβάλλοντα.</w:t>
      </w:r>
    </w:p>
    <w:p w14:paraId="24DDE007" w14:textId="77777777" w:rsidR="00221736" w:rsidRPr="000F3293" w:rsidRDefault="00000000" w:rsidP="002465EE">
      <w:pPr>
        <w:spacing w:line="360" w:lineRule="auto"/>
        <w:ind w:firstLine="720"/>
        <w:jc w:val="both"/>
      </w:pPr>
      <w:r w:rsidRPr="000F3293">
        <w:t>Καθοριστική για τη σύγχρονη μορφή του ελληνικού αιτήματος υπήρξε η συμβολή της Μελίνας Μερκούρη ως Υπουργού Πολιτισμού κατά τη δεκαετία του 1980. Η ίδια και ο κύκλος των συνεργατών της έθεσαν τις βάσεις της σημερινής νομικής, πολιτικής και επικοινωνιακής στρατηγικής για την επιστροφή των Γλυπτών του Παρθενώνα, διεθνοποιώντας το ζήτημα και συνδέοντάς το με την έννοια της εθνικής και πολιτιστικής ταυτότητας (</w:t>
      </w:r>
      <w:proofErr w:type="spellStart"/>
      <w:r w:rsidRPr="000F3293">
        <w:t>Gazi</w:t>
      </w:r>
      <w:proofErr w:type="spellEnd"/>
      <w:r w:rsidRPr="000F3293">
        <w:t xml:space="preserve">, 1990, </w:t>
      </w:r>
      <w:proofErr w:type="spellStart"/>
      <w:r w:rsidRPr="000F3293">
        <w:t>Hamilakis</w:t>
      </w:r>
      <w:proofErr w:type="spellEnd"/>
      <w:r w:rsidRPr="000F3293">
        <w:t>, 1999). Στην παρούσα εργασία ο ρόλος της εξετάζεται αναλυτικότερα στο θεωρητικό μέρος και στη μελέτη περίπτωσης του Μουσείου Ακρόπολης.</w:t>
      </w:r>
    </w:p>
    <w:p w14:paraId="7C36689C" w14:textId="77777777" w:rsidR="0043019D" w:rsidRPr="000F3293" w:rsidRDefault="0043019D" w:rsidP="0043019D">
      <w:pPr>
        <w:spacing w:line="360" w:lineRule="auto"/>
        <w:ind w:firstLine="720"/>
        <w:jc w:val="both"/>
        <w:rPr>
          <w:rFonts w:cs="Times New Roman"/>
        </w:rPr>
      </w:pPr>
      <w:r w:rsidRPr="000F3293">
        <w:rPr>
          <w:rFonts w:cs="Times New Roman"/>
        </w:rPr>
        <w:t xml:space="preserve">Παράλληλα, οι πρόσφατες εξελίξεις στις επιστροφές των Μπρούντζινων του Μπενίν ανέδειξαν ένα διαφορετικό μοντέλο. Στις περιπτώσεις αυτές, το ζήτημα δεν αρθρώνεται πρωτίστως ως επανένωση μνημειακού συνόλου, αλλά ως ηθική και πολιτική αποκατάσταση για πράξεις αποικιακής λεηλασίας. Η δυναμική αυτή ενισχύθηκε σημαντικά από την αυξανόμενη πίεση της διεθνούς κοινής γνώμης, από την </w:t>
      </w:r>
      <w:proofErr w:type="spellStart"/>
      <w:r w:rsidRPr="000F3293">
        <w:rPr>
          <w:rFonts w:cs="Times New Roman"/>
        </w:rPr>
        <w:t>αποαποικιακή</w:t>
      </w:r>
      <w:proofErr w:type="spellEnd"/>
      <w:r w:rsidRPr="000F3293">
        <w:rPr>
          <w:rFonts w:cs="Times New Roman"/>
        </w:rPr>
        <w:t xml:space="preserve"> κριτική στη μουσειακή πρακτική και από τη σταδιακή μετατόπιση ορισμένων ευρωπαϊκών ιδρυμάτων προς μοντέλα διαβούλευσης, αναγνώρισης ιστορικής ευθύνης και μεταβίβασης κυριότητας (</w:t>
      </w:r>
      <w:r w:rsidRPr="000F3293">
        <w:rPr>
          <w:rFonts w:cs="Times New Roman"/>
          <w:lang w:val="en-US"/>
        </w:rPr>
        <w:t>Hicks</w:t>
      </w:r>
      <w:r w:rsidRPr="000F3293">
        <w:rPr>
          <w:rFonts w:cs="Times New Roman"/>
        </w:rPr>
        <w:t xml:space="preserve">, 2020, </w:t>
      </w:r>
      <w:r w:rsidRPr="000F3293">
        <w:rPr>
          <w:rFonts w:cs="Times New Roman"/>
          <w:lang w:val="en-US"/>
        </w:rPr>
        <w:t>Savoy</w:t>
      </w:r>
      <w:r w:rsidRPr="000F3293">
        <w:rPr>
          <w:rFonts w:cs="Times New Roman"/>
        </w:rPr>
        <w:t xml:space="preserve">, 2022, </w:t>
      </w:r>
      <w:r w:rsidRPr="000F3293">
        <w:rPr>
          <w:rFonts w:cs="Times New Roman"/>
          <w:lang w:val="en-US"/>
        </w:rPr>
        <w:t>Stahn</w:t>
      </w:r>
      <w:r w:rsidRPr="000F3293">
        <w:rPr>
          <w:rFonts w:cs="Times New Roman"/>
        </w:rPr>
        <w:t xml:space="preserve">, 2022). Η περίπτωση του Μουσείου </w:t>
      </w:r>
      <w:r w:rsidRPr="000F3293">
        <w:rPr>
          <w:rFonts w:cs="Times New Roman"/>
          <w:lang w:val="en-US"/>
        </w:rPr>
        <w:t>Horniman</w:t>
      </w:r>
      <w:r w:rsidRPr="000F3293">
        <w:rPr>
          <w:rFonts w:cs="Times New Roman"/>
        </w:rPr>
        <w:t xml:space="preserve"> είναι ενδεικτική ακριβώς επειδή δείχνει ότι η επιστροφή μπορεί να οργανωθεί όχι ως θεσμική κατάρρευση, αλλά ως διαδικασία υπεύθυνης διακυβέρνησης.</w:t>
      </w:r>
    </w:p>
    <w:p w14:paraId="4E5819D0" w14:textId="77777777" w:rsidR="0043019D" w:rsidRPr="000F3293" w:rsidRDefault="0043019D" w:rsidP="0043019D">
      <w:pPr>
        <w:spacing w:line="360" w:lineRule="auto"/>
        <w:ind w:firstLine="720"/>
        <w:jc w:val="both"/>
        <w:rPr>
          <w:rFonts w:cs="Times New Roman"/>
        </w:rPr>
      </w:pPr>
      <w:r w:rsidRPr="000F3293">
        <w:rPr>
          <w:rFonts w:cs="Times New Roman"/>
        </w:rPr>
        <w:lastRenderedPageBreak/>
        <w:t xml:space="preserve">Σκοπός της παρούσας διπλωματικής εργασίας είναι να εξετάσει πώς η πολιτιστική διπλωματία, η μουσειακή διοίκηση, το νομικό πλαίσιο και η δημόσια επικοινωνία </w:t>
      </w:r>
      <w:proofErr w:type="spellStart"/>
      <w:r w:rsidRPr="000F3293">
        <w:rPr>
          <w:rFonts w:cs="Times New Roman"/>
        </w:rPr>
        <w:t>αλληλεπιδρούν</w:t>
      </w:r>
      <w:proofErr w:type="spellEnd"/>
      <w:r w:rsidRPr="000F3293">
        <w:rPr>
          <w:rFonts w:cs="Times New Roman"/>
        </w:rPr>
        <w:t xml:space="preserve"> στις σύγχρονες διεκδικήσεις επιστροφής πολιτιστικών αγαθών. Ειδικότερα, η εργασία επιδιώκει να αναλύσει συγκριτικά τρεις χαρακτηριστικές περιπτώσεις, το Μουσείο Ακρόπολης, το Βρετανικό Μουσείο και το Μουσείο </w:t>
      </w:r>
      <w:r w:rsidRPr="000F3293">
        <w:rPr>
          <w:rFonts w:cs="Times New Roman"/>
          <w:lang w:val="en-US"/>
        </w:rPr>
        <w:t>Horniman</w:t>
      </w:r>
      <w:r w:rsidRPr="000F3293">
        <w:rPr>
          <w:rFonts w:cs="Times New Roman"/>
        </w:rPr>
        <w:t>, προκειμένου να διερευνηθεί πώς διαφοροποιούνται οι θεσμικές γλώσσες, οι στρατηγικές νομιμοποίησης και οι δυνατότητες μετατροπής της ηθικής πίεσης σε θεσμική πράξη. Η βασική θέση που διατρέχει την εργασία είναι ότι η επιτυχία ή η αποτυχία ενός αιτήματος επιστροφής δεν εξαρτάται μόνο από την ιστορική ισχύ του επιχειρήματος, αλλά και από τη διοικητική μορφή του μουσείου, από την ερμηνευτική ευκαμψία του ισχύοντος δικαίου και από την ικανότητα παραγωγής πειστικής δημόσιας αφήγησης.</w:t>
      </w:r>
    </w:p>
    <w:p w14:paraId="5ACAC9DB" w14:textId="2FA5F7CC" w:rsidR="00221736" w:rsidRPr="000F3293" w:rsidRDefault="00000000" w:rsidP="002465EE">
      <w:pPr>
        <w:spacing w:line="360" w:lineRule="auto"/>
        <w:ind w:firstLine="720"/>
        <w:jc w:val="both"/>
      </w:pPr>
      <w:r w:rsidRPr="000F3293">
        <w:t>Με βάση τον παραπάνω σκοπό, η εργασία οργανώ</w:t>
      </w:r>
      <w:r w:rsidR="002465EE" w:rsidRPr="000F3293">
        <w:t>θηκε</w:t>
      </w:r>
      <w:r w:rsidRPr="000F3293">
        <w:t xml:space="preserve"> γύρω από τρία ερευνητικά ερωτήματα. Πρώτον, πώς διαμορφώνει κάθε μουσείο (Ακρόπολης, Βρετανικό, </w:t>
      </w:r>
      <w:proofErr w:type="spellStart"/>
      <w:r w:rsidRPr="000F3293">
        <w:t>Horniman</w:t>
      </w:r>
      <w:proofErr w:type="spellEnd"/>
      <w:r w:rsidRPr="000F3293">
        <w:t>) τη θεσμική του θέση απέναντι στο αίτημα επιστροφής μέσα από τη διοικητική του δομή και το νομικό του καθεστώς. Δεύτερον, με ποιον τρόπο το νομικό πλαίσιο, οι κώδικες δεοντολογίας και οι διεθνείς συμβάσεις χρησιμοποιούνται ως εργαλεία νομιμοποίησης ή αναβολής της επιστροφής. Τρίτον, πώς η δημόσια επικοινωνία και η πολιτιστική διπλωματία των μουσείων μετατρέπουν την ηθική πίεση σε θεσμική πράξη ή, αντιστρόφως, σε θεσμική αδράνεια. Τα ερωτήματα αυτά καθόρισαν και τη διάρθρωση των κεφαλαίων που ακολουθούν.</w:t>
      </w:r>
    </w:p>
    <w:p w14:paraId="01308272" w14:textId="7732E318" w:rsidR="00221736" w:rsidRPr="000F3293" w:rsidRDefault="0043019D" w:rsidP="002465EE">
      <w:pPr>
        <w:spacing w:line="360" w:lineRule="auto"/>
        <w:ind w:firstLine="720"/>
        <w:jc w:val="both"/>
        <w:rPr>
          <w:rFonts w:cs="Times New Roman"/>
        </w:rPr>
      </w:pPr>
      <w:r w:rsidRPr="000F3293">
        <w:rPr>
          <w:rFonts w:cs="Times New Roman"/>
        </w:rPr>
        <w:t>Μεθοδολογικά, η εργασία ακολο</w:t>
      </w:r>
      <w:r w:rsidR="002465EE" w:rsidRPr="000F3293">
        <w:rPr>
          <w:rFonts w:cs="Times New Roman"/>
        </w:rPr>
        <w:t>ύθησε</w:t>
      </w:r>
      <w:r w:rsidRPr="000F3293">
        <w:rPr>
          <w:rFonts w:cs="Times New Roman"/>
        </w:rPr>
        <w:t xml:space="preserve"> ποιοτική και συγκριτική προσέγγιση.</w:t>
      </w:r>
      <w:r w:rsidR="002465EE" w:rsidRPr="000F3293">
        <w:rPr>
          <w:rFonts w:cs="Times New Roman"/>
        </w:rPr>
        <w:t xml:space="preserve"> </w:t>
      </w:r>
      <w:r w:rsidRPr="000F3293">
        <w:t>Ως βασική τεχνική συλλογής και επεξεργασίας δεδομένων χρησιμοποι</w:t>
      </w:r>
      <w:r w:rsidR="002465EE" w:rsidRPr="000F3293">
        <w:t>ήθηκε</w:t>
      </w:r>
      <w:r w:rsidRPr="000F3293">
        <w:t xml:space="preserve"> η ανάλυση τεκμηρίων (</w:t>
      </w:r>
      <w:proofErr w:type="spellStart"/>
      <w:r w:rsidRPr="000F3293">
        <w:t>document</w:t>
      </w:r>
      <w:proofErr w:type="spellEnd"/>
      <w:r w:rsidRPr="000F3293">
        <w:t xml:space="preserve"> </w:t>
      </w:r>
      <w:proofErr w:type="spellStart"/>
      <w:r w:rsidRPr="000F3293">
        <w:t>analysis</w:t>
      </w:r>
      <w:proofErr w:type="spellEnd"/>
      <w:r w:rsidRPr="000F3293">
        <w:t>), η οποία επιτρέπει τη συστηματική εξέταση θεσμικών και δημόσιων κειμένων ως πηγών για τις θέσεις, τις πρακτικές και τις αφηγήσεις των φορέων (</w:t>
      </w:r>
      <w:proofErr w:type="spellStart"/>
      <w:r w:rsidRPr="000F3293">
        <w:t>Bowen</w:t>
      </w:r>
      <w:proofErr w:type="spellEnd"/>
      <w:r w:rsidRPr="000F3293">
        <w:t>, 2009). Το υλικό περιλαμβάνει διεθνείς και εθνικές νομοθετικές πηγές, καταστατικά και ετήσιες εκθέσεις, κώδικες δεοντολογίας, δελτία Τύπου, επίσημες ιστοσελίδες και δημόσιες δηλώσεις των τριών μουσείων, καθώς και δευτερογενή ακαδημαϊκή βιβλιογραφία. Η επιλογή των τριών περιπτώσεων στηρίζεται σε λογική θεωρητικής, και όχι στατιστικής, δειγματοληψίας (</w:t>
      </w:r>
      <w:proofErr w:type="spellStart"/>
      <w:r w:rsidRPr="000F3293">
        <w:t>Creswell</w:t>
      </w:r>
      <w:proofErr w:type="spellEnd"/>
      <w:r w:rsidRPr="000F3293">
        <w:t xml:space="preserve"> &amp; </w:t>
      </w:r>
      <w:proofErr w:type="spellStart"/>
      <w:r w:rsidRPr="000F3293">
        <w:t>Poth</w:t>
      </w:r>
      <w:proofErr w:type="spellEnd"/>
      <w:r w:rsidRPr="000F3293">
        <w:t xml:space="preserve">, 2018), ώστε να αντιπαρατεθούν τρεις διακριτές θεσμικές λογικές. Η ανάλυση οργανώθηκε θεματικά γύρω από τρεις άξονες, το νομικό πλαίσιο, τη μουσειακή διοίκηση και τη δημόσια επικοινωνία, με στόχο τη </w:t>
      </w:r>
      <w:r w:rsidRPr="000F3293">
        <w:lastRenderedPageBreak/>
        <w:t>συγκριτική ερμηνεία και όχι την ποσοτική γενίκευση.</w:t>
      </w:r>
      <w:r w:rsidR="002465EE" w:rsidRPr="000F3293">
        <w:t xml:space="preserve"> </w:t>
      </w:r>
      <w:r w:rsidR="002465EE" w:rsidRPr="000F3293">
        <w:rPr>
          <w:rFonts w:cs="Times New Roman"/>
        </w:rPr>
        <w:t xml:space="preserve">Το Βρετανικό Μουσείο λειτουργεί ως μουσείο κατοχής, νομικής θωράκισης και υπεράσπισης του οικουμενικού μουσείου. Το Μουσείο </w:t>
      </w:r>
      <w:r w:rsidR="002465EE" w:rsidRPr="000F3293">
        <w:rPr>
          <w:rFonts w:cs="Times New Roman"/>
          <w:lang w:val="en-US"/>
        </w:rPr>
        <w:t>Horniman</w:t>
      </w:r>
      <w:r w:rsidR="002465EE" w:rsidRPr="000F3293">
        <w:rPr>
          <w:rFonts w:cs="Times New Roman"/>
        </w:rPr>
        <w:t xml:space="preserve"> λειτουργεί ως παράδειγμα μουσείου που ενσωματώνει πολιτική αποκατάστασης και επιστροφής, αναγνωρίζει αποικιακές διαδρομές κτήσης και προχωρεί σε μεταβίβαση κυριότητας μέσα από διαδικασίες λογοδοσίας και διαβούλευσης. Έτσι, η σύγκριση δεν αφορά μόνο διαφορετικά αποτελέσματα, αλλά διαφορετικές θεσμικές γλώσσες και διαφορετικά μοντέλα διακυβέρνησης</w:t>
      </w:r>
    </w:p>
    <w:p w14:paraId="7B9A1670" w14:textId="46E76962" w:rsidR="001358B2" w:rsidRPr="000F3293" w:rsidRDefault="00000000" w:rsidP="001358B2">
      <w:pPr>
        <w:spacing w:line="360" w:lineRule="auto"/>
        <w:ind w:firstLine="720"/>
        <w:jc w:val="both"/>
      </w:pPr>
      <w:r w:rsidRPr="000F3293">
        <w:t>Ως προς τη σημασία και την πρωτοτυπία της, η εργασία διαφοροποιείται από προηγούμενες μελέτες χάρη στη συγκριτική και διεπιστημονική της οπτική. Ενώ αρκετές ελληνικές διπλωματικές εργασίες και μελέτες έχουν προσεγγίσει τον επαναπατρισμό αρχαιοτήτων και ειδικότερα τα Γλυπτά του Παρθενώνα κυρίως από νομική σκοπιά ή ως μεμονωμένη υπόθεση (</w:t>
      </w:r>
      <w:proofErr w:type="spellStart"/>
      <w:r w:rsidRPr="000F3293">
        <w:t>Καραλίδου</w:t>
      </w:r>
      <w:proofErr w:type="spellEnd"/>
      <w:r w:rsidRPr="000F3293">
        <w:t>, 2022), η παρούσα εργασία τοποθετεί το ζήτημα σε ένα ευρύτερο πλαίσιο μουσειακής διακυβέρνησης, πολιτιστικής διπλωματίας και δημόσιας επικοινωνίας. Η συγκριτική εξέταση τριών διαφορετικών θεσμικών μοντέλων (μουσείο επανένωσης, μουσείο κατοχής, μουσείο θεσμικής επανόρθωσης) και η παράλληλη ανάγνωση της υπόθεσης του Παρθενώνα με την υπόθεση των Μπρούντζινων του Μπενίν διαφοροποιούν τη μελέτη από εργασίες που εστιάζουν σε μία μόνο περίπτωση ή σε μία μόνο διάσταση του φαινομένου.</w:t>
      </w:r>
    </w:p>
    <w:p w14:paraId="615BB069" w14:textId="3F439ACF" w:rsidR="001358B2" w:rsidRPr="000F3293" w:rsidRDefault="001358B2" w:rsidP="001358B2">
      <w:pPr>
        <w:spacing w:after="120" w:line="360" w:lineRule="auto"/>
        <w:ind w:firstLine="720"/>
        <w:jc w:val="both"/>
        <w:rPr>
          <w:rFonts w:cs="Times New Roman"/>
        </w:rPr>
      </w:pPr>
      <w:r w:rsidRPr="000F3293">
        <w:rPr>
          <w:rFonts w:cs="Times New Roman"/>
        </w:rPr>
        <w:t xml:space="preserve">Πιο συγκεκριμένα, η επιλογή του Μουσείου Ακρόπολης, του Βρετανικού Μουσείου και του Μουσείου </w:t>
      </w:r>
      <w:r w:rsidRPr="000F3293">
        <w:rPr>
          <w:rFonts w:cs="Times New Roman"/>
          <w:lang w:val="en-US"/>
        </w:rPr>
        <w:t>Horniman</w:t>
      </w:r>
      <w:r w:rsidRPr="000F3293">
        <w:rPr>
          <w:rFonts w:cs="Times New Roman"/>
        </w:rPr>
        <w:t xml:space="preserve"> δεν στηρίζεται μόνο στη δημοσιότητα που έχουν λάβει οι αντίστοιχες υποθέσεις, αλλά κυρίως στο ότι τα τρία ιδρύματα ενσαρκώνουν τρεις διαφορετικές θεσμικές λογικές μέσα στο ίδιο πεδίο σύγκρουσης. Το Μουσείο Ακρόπολης αποτελεί το κατεξοχήν παράδειγμα μουσείου υποδοχής και επανένωσης, δηλαδή ενός οργανισμού που δεν υπερασπίζεται την κατοχή αμφισβητούμενων αντικειμένων στο εξωτερικό, αλλά </w:t>
      </w:r>
      <w:proofErr w:type="spellStart"/>
      <w:r w:rsidRPr="000F3293">
        <w:rPr>
          <w:rFonts w:cs="Times New Roman"/>
        </w:rPr>
        <w:t>οικοδομεί</w:t>
      </w:r>
      <w:proofErr w:type="spellEnd"/>
      <w:r w:rsidRPr="000F3293">
        <w:rPr>
          <w:rFonts w:cs="Times New Roman"/>
        </w:rPr>
        <w:t xml:space="preserve"> την αποστολή του γύρω από την επανένταξη των αποσπασμένων μελών στο μνημειακό, ιστορικό και ερμηνευτικό τους πλαίσιο. Το Βρετανικό Μουσείο αντιπροσωπεύει το αντίστροφο μοντέλο, δηλαδή ένα εθνικό μουσείο με θεσμικό βάρος, διεθνή ακτινοβολία και νομοθετικά επιχειρήματα που χρησιμοποιούνται για τη διατήρηση αμφισβητούμενων συλλογών στο εσωτερικό μιας οικουμενικής, όπως το ίδιο την παρουσιάζει, αφήγησης. Το Μουσείο </w:t>
      </w:r>
      <w:r w:rsidRPr="000F3293">
        <w:rPr>
          <w:rFonts w:cs="Times New Roman"/>
          <w:lang w:val="en-US"/>
        </w:rPr>
        <w:t>Horniman</w:t>
      </w:r>
      <w:r w:rsidRPr="000F3293">
        <w:rPr>
          <w:rFonts w:cs="Times New Roman"/>
        </w:rPr>
        <w:t xml:space="preserve">, τέλος, αναδεικνύει μια τρίτη εκδοχή, δηλαδή ένα ίδρυμα που ενσωματώνει ρητά πολιτική </w:t>
      </w:r>
      <w:r w:rsidRPr="000F3293">
        <w:rPr>
          <w:rFonts w:cs="Times New Roman"/>
        </w:rPr>
        <w:lastRenderedPageBreak/>
        <w:t>αποκατάστασης και επαναπατρισμού, αναγνωρίζει τις αποικιακές διαδρομές των αντικειμένων και προχωρεί σε μεταβίβαση κυριότητας ως μέρος μιας νέας ηθικής και συνεργατικής μουσειακής πρακτικής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b</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xml:space="preserve">, </w:t>
      </w:r>
      <w:r w:rsidRPr="000F3293">
        <w:rPr>
          <w:rFonts w:cs="Times New Roman"/>
          <w:lang w:val="en-US"/>
        </w:rPr>
        <w:t>Horniman</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and</w:t>
      </w:r>
      <w:r w:rsidRPr="000F3293">
        <w:rPr>
          <w:rFonts w:cs="Times New Roman"/>
        </w:rPr>
        <w:t xml:space="preserve"> </w:t>
      </w:r>
      <w:r w:rsidRPr="000F3293">
        <w:rPr>
          <w:rFonts w:cs="Times New Roman"/>
          <w:lang w:val="en-US"/>
        </w:rPr>
        <w:t>Gardens</w:t>
      </w:r>
      <w:r w:rsidRPr="000F3293">
        <w:rPr>
          <w:rFonts w:cs="Times New Roman"/>
        </w:rPr>
        <w:t>, 2022</w:t>
      </w:r>
      <w:r w:rsidRPr="000F3293">
        <w:rPr>
          <w:rFonts w:cs="Times New Roman"/>
          <w:lang w:val="en-US"/>
        </w:rPr>
        <w:t>a</w:t>
      </w:r>
      <w:r w:rsidRPr="000F3293">
        <w:rPr>
          <w:rFonts w:cs="Times New Roman"/>
        </w:rPr>
        <w:t>, 2024</w:t>
      </w:r>
      <w:r w:rsidRPr="000F3293">
        <w:rPr>
          <w:rFonts w:cs="Times New Roman"/>
          <w:lang w:val="en-US"/>
        </w:rPr>
        <w:t>a</w:t>
      </w:r>
      <w:r w:rsidRPr="000F3293">
        <w:rPr>
          <w:rFonts w:cs="Times New Roman"/>
        </w:rPr>
        <w:t xml:space="preserve">, </w:t>
      </w:r>
      <w:r w:rsidRPr="000F3293">
        <w:rPr>
          <w:rFonts w:cs="Times New Roman"/>
          <w:lang w:val="en-US"/>
        </w:rPr>
        <w:t>Merriman</w:t>
      </w:r>
      <w:r w:rsidRPr="000F3293">
        <w:rPr>
          <w:rFonts w:cs="Times New Roman"/>
        </w:rPr>
        <w:t>, 2024).</w:t>
      </w:r>
    </w:p>
    <w:p w14:paraId="158B9160" w14:textId="77777777" w:rsidR="001358B2" w:rsidRPr="000F3293" w:rsidRDefault="001358B2" w:rsidP="001358B2">
      <w:pPr>
        <w:spacing w:after="120" w:line="360" w:lineRule="auto"/>
        <w:ind w:firstLine="720"/>
        <w:jc w:val="both"/>
        <w:rPr>
          <w:rFonts w:cs="Times New Roman"/>
        </w:rPr>
      </w:pPr>
      <w:r w:rsidRPr="000F3293">
        <w:rPr>
          <w:rFonts w:cs="Times New Roman"/>
        </w:rPr>
        <w:t>Η σύγκριση αυτή είναι ιδιαίτερα γόνιμη, διότι τα τρία μουσεία δεν διαφέρουν μόνο ως προς τις θέσεις που λαμβάνουν, αλλά και ως προς τη διοικητική τους μορφή, την πηγή νομιμοποίησης, το νομικό τους πλαίσιο και τον τρόπο με τον οποίο επικοινωνούν τις αποφάσεις τους. Το Μουσείο Ακρόπολης είναι νομικό πρόσωπο δημοσίου δικαίου, με σαφώς ορισμένη αποστολή συνδεδεμένη με τα μνημεία της Ακρόπολης και με οργανωτική δομή που απορρέει από ειδικό εθνικό νόμο και προεδρικό διάταγμα (</w:t>
      </w:r>
      <w:r w:rsidRPr="000F3293">
        <w:rPr>
          <w:rFonts w:cs="Times New Roman"/>
          <w:lang w:val="en-US"/>
        </w:rPr>
        <w:t>Acropolis</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a</w:t>
      </w:r>
      <w:r w:rsidRPr="000F3293">
        <w:rPr>
          <w:rFonts w:cs="Times New Roman"/>
        </w:rPr>
        <w:t xml:space="preserve">, </w:t>
      </w:r>
      <w:r w:rsidRPr="000F3293">
        <w:rPr>
          <w:rFonts w:cs="Times New Roman"/>
          <w:lang w:val="en-US"/>
        </w:rPr>
        <w:t>Hellenic</w:t>
      </w:r>
      <w:r w:rsidRPr="000F3293">
        <w:rPr>
          <w:rFonts w:cs="Times New Roman"/>
        </w:rPr>
        <w:t xml:space="preserve"> </w:t>
      </w:r>
      <w:r w:rsidRPr="000F3293">
        <w:rPr>
          <w:rFonts w:cs="Times New Roman"/>
          <w:lang w:val="en-US"/>
        </w:rPr>
        <w:t>Republic</w:t>
      </w:r>
      <w:r w:rsidRPr="000F3293">
        <w:rPr>
          <w:rFonts w:cs="Times New Roman"/>
        </w:rPr>
        <w:t>, 2008, 2013). Το Βρετανικό Μουσείο λειτουργεί ως δημόσιος οργανισμός με διοικητική αυτοτέλεια, ως εξαιρούμενο κοινωφελές ίδρυμα και ως δημόσιος φορέας που δεν υπάγεται απευθείας σε υπουργική διεύθυνση, υπό την εποπτεία του Υπουργείου Πολιτισμού, Μέσων και Αθλητισμού, ενώ η κυριότητα και η διαχείριση των συλλογών του ανατίθενται στο Διοικητικό Συμβούλιο Επιτρόπων, το οποίο επικαλείται τον Νόμο περί Βρετανικού Μουσείου του 1963 και την ιστορική ψήφο του Κοινοβουλίου του 1816 για να θεμελιώσει τη θεσμική του θέση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a</w:t>
      </w:r>
      <w:r w:rsidRPr="000F3293">
        <w:rPr>
          <w:rFonts w:cs="Times New Roman"/>
        </w:rPr>
        <w:t>, 2025</w:t>
      </w:r>
      <w:r w:rsidRPr="000F3293">
        <w:rPr>
          <w:rFonts w:cs="Times New Roman"/>
          <w:lang w:val="en-US"/>
        </w:rPr>
        <w:t>a</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xml:space="preserve">, </w:t>
      </w:r>
      <w:r w:rsidRPr="000F3293">
        <w:rPr>
          <w:rFonts w:cs="Times New Roman"/>
          <w:lang w:val="en-US"/>
        </w:rPr>
        <w:t>UK</w:t>
      </w:r>
      <w:r w:rsidRPr="000F3293">
        <w:rPr>
          <w:rFonts w:cs="Times New Roman"/>
        </w:rPr>
        <w:t xml:space="preserve"> </w:t>
      </w:r>
      <w:r w:rsidRPr="000F3293">
        <w:rPr>
          <w:rFonts w:cs="Times New Roman"/>
          <w:lang w:val="en-US"/>
        </w:rPr>
        <w:t>Parliament</w:t>
      </w:r>
      <w:r w:rsidRPr="000F3293">
        <w:rPr>
          <w:rFonts w:cs="Times New Roman"/>
        </w:rPr>
        <w:t>, 2025</w:t>
      </w:r>
      <w:r w:rsidRPr="000F3293">
        <w:rPr>
          <w:rFonts w:cs="Times New Roman"/>
          <w:lang w:val="en-US"/>
        </w:rPr>
        <w:t>a</w:t>
      </w:r>
      <w:r w:rsidRPr="000F3293">
        <w:rPr>
          <w:rFonts w:cs="Times New Roman"/>
        </w:rPr>
        <w:t>, 2025</w:t>
      </w:r>
      <w:r w:rsidRPr="000F3293">
        <w:rPr>
          <w:rFonts w:cs="Times New Roman"/>
          <w:lang w:val="en-US"/>
        </w:rPr>
        <w:t>b</w:t>
      </w:r>
      <w:r w:rsidRPr="000F3293">
        <w:rPr>
          <w:rFonts w:cs="Times New Roman"/>
        </w:rPr>
        <w:t xml:space="preserve">). Το Μουσείο </w:t>
      </w:r>
      <w:r w:rsidRPr="000F3293">
        <w:rPr>
          <w:rFonts w:cs="Times New Roman"/>
          <w:lang w:val="en-US"/>
        </w:rPr>
        <w:t>Horniman</w:t>
      </w:r>
      <w:r w:rsidRPr="000F3293">
        <w:rPr>
          <w:rFonts w:cs="Times New Roman"/>
        </w:rPr>
        <w:t>, αντίστοιχα, είναι ανεξάρτητο κοινωφελές καταπίστευμα, επίσης δημόσιος φορέας που δεν υπάγεται απευθείας σε υπουργική διεύθυνση, με βασική δημόσια χρηματοδότηση από το ίδιο υπουργείο, αλλά με διοικητική κουλτούρα που του επέτρεψε να αναπτύξει πιο ευέλικτες διαδικασίες λογοδοσίας, διαβούλευσης και ηθικής επανεξέτασης των συλλογών του (</w:t>
      </w:r>
      <w:r w:rsidRPr="000F3293">
        <w:rPr>
          <w:rFonts w:cs="Times New Roman"/>
          <w:lang w:val="en-US"/>
        </w:rPr>
        <w:t>Horniman</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and</w:t>
      </w:r>
      <w:r w:rsidRPr="000F3293">
        <w:rPr>
          <w:rFonts w:cs="Times New Roman"/>
        </w:rPr>
        <w:t xml:space="preserve"> </w:t>
      </w:r>
      <w:r w:rsidRPr="000F3293">
        <w:rPr>
          <w:rFonts w:cs="Times New Roman"/>
          <w:lang w:val="en-US"/>
        </w:rPr>
        <w:t>Gardens</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b</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w:t>
      </w:r>
    </w:p>
    <w:p w14:paraId="2654D290" w14:textId="77777777" w:rsidR="001358B2" w:rsidRPr="000F3293" w:rsidRDefault="001358B2" w:rsidP="001358B2">
      <w:pPr>
        <w:spacing w:after="120" w:line="360" w:lineRule="auto"/>
        <w:ind w:firstLine="720"/>
        <w:jc w:val="both"/>
        <w:rPr>
          <w:rFonts w:cs="Times New Roman"/>
        </w:rPr>
      </w:pPr>
      <w:r w:rsidRPr="000F3293">
        <w:rPr>
          <w:rFonts w:cs="Times New Roman"/>
        </w:rPr>
        <w:t xml:space="preserve">Για τους σκοπούς της παρούσας εργασίας, ο όρος επιστροφή χρησιμοποιείται ως ευρύτερη ομπρέλα, η οποία περιλαμβάνει τόσο την υλική επάνοδο αντικειμένων όσο και τις μορφές μεταβίβασης κυριότητας, κατάθεσης επ' </w:t>
      </w:r>
      <w:proofErr w:type="spellStart"/>
      <w:r w:rsidRPr="000F3293">
        <w:rPr>
          <w:rFonts w:cs="Times New Roman"/>
        </w:rPr>
        <w:t>αόριστον</w:t>
      </w:r>
      <w:proofErr w:type="spellEnd"/>
      <w:r w:rsidRPr="000F3293">
        <w:rPr>
          <w:rFonts w:cs="Times New Roman"/>
        </w:rPr>
        <w:t xml:space="preserve">, δανεισμού μετά από επιστροφή και μόνιμης επανένωσης. Η διάκριση έχει σημασία, επειδή στις υποθέσεις του Παρθενώνα η ελληνική πλευρά προτιμά τον όρο επανένωση, ώστε να τονιστεί ότι τα γλυπτά δεν είναι αυτοτελή έργα που απλώς αλλάζουν τόπο, αλλά τμήματα ενός ενιαίου μνημειακού σώματος, ενώ στην περίπτωση των Μπρούντζων του Μπενίν η διεθνής βιβλιογραφία και η πρακτική των μουσείων χρησιμοποιούν </w:t>
      </w:r>
      <w:r w:rsidRPr="000F3293">
        <w:rPr>
          <w:rFonts w:cs="Times New Roman"/>
        </w:rPr>
        <w:lastRenderedPageBreak/>
        <w:t xml:space="preserve">συχνότερα τους όρους </w:t>
      </w:r>
      <w:proofErr w:type="spellStart"/>
      <w:r w:rsidRPr="000F3293">
        <w:rPr>
          <w:rFonts w:cs="Times New Roman"/>
        </w:rPr>
        <w:t>restitution</w:t>
      </w:r>
      <w:proofErr w:type="spellEnd"/>
      <w:r w:rsidRPr="000F3293">
        <w:rPr>
          <w:rFonts w:cs="Times New Roman"/>
        </w:rPr>
        <w:t xml:space="preserve"> και </w:t>
      </w:r>
      <w:proofErr w:type="spellStart"/>
      <w:r w:rsidRPr="000F3293">
        <w:rPr>
          <w:rFonts w:cs="Times New Roman"/>
        </w:rPr>
        <w:t>repatriation</w:t>
      </w:r>
      <w:proofErr w:type="spellEnd"/>
      <w:r w:rsidRPr="000F3293">
        <w:rPr>
          <w:rFonts w:cs="Times New Roman"/>
        </w:rPr>
        <w:t>, προκειμένου να αποδοθεί η ηθική και ιστορική διάσταση της αποικιακής βίας (</w:t>
      </w:r>
      <w:proofErr w:type="spellStart"/>
      <w:r w:rsidRPr="000F3293">
        <w:rPr>
          <w:rFonts w:cs="Times New Roman"/>
        </w:rPr>
        <w:t>Stamatoudi</w:t>
      </w:r>
      <w:proofErr w:type="spellEnd"/>
      <w:r w:rsidRPr="000F3293">
        <w:rPr>
          <w:rFonts w:cs="Times New Roman"/>
        </w:rPr>
        <w:t xml:space="preserve">, 2022, </w:t>
      </w:r>
      <w:proofErr w:type="spellStart"/>
      <w:r w:rsidRPr="000F3293">
        <w:rPr>
          <w:rFonts w:cs="Times New Roman"/>
        </w:rPr>
        <w:t>Hicks</w:t>
      </w:r>
      <w:proofErr w:type="spellEnd"/>
      <w:r w:rsidRPr="000F3293">
        <w:rPr>
          <w:rFonts w:cs="Times New Roman"/>
        </w:rPr>
        <w:t xml:space="preserve">, 2020, </w:t>
      </w:r>
      <w:proofErr w:type="spellStart"/>
      <w:r w:rsidRPr="000F3293">
        <w:rPr>
          <w:rFonts w:cs="Times New Roman"/>
        </w:rPr>
        <w:t>Savoy</w:t>
      </w:r>
      <w:proofErr w:type="spellEnd"/>
      <w:r w:rsidRPr="000F3293">
        <w:rPr>
          <w:rFonts w:cs="Times New Roman"/>
        </w:rPr>
        <w:t xml:space="preserve">, 2022, </w:t>
      </w:r>
      <w:proofErr w:type="spellStart"/>
      <w:r w:rsidRPr="000F3293">
        <w:rPr>
          <w:rFonts w:cs="Times New Roman"/>
        </w:rPr>
        <w:t>Merriman</w:t>
      </w:r>
      <w:proofErr w:type="spellEnd"/>
      <w:r w:rsidRPr="000F3293">
        <w:rPr>
          <w:rFonts w:cs="Times New Roman"/>
        </w:rPr>
        <w:t>, 2024).</w:t>
      </w:r>
    </w:p>
    <w:p w14:paraId="1F1EAB1E" w14:textId="77777777" w:rsidR="001358B2" w:rsidRPr="000F3293" w:rsidRDefault="001358B2" w:rsidP="001358B2">
      <w:pPr>
        <w:spacing w:after="120" w:line="360" w:lineRule="auto"/>
        <w:ind w:firstLine="720"/>
        <w:jc w:val="both"/>
        <w:rPr>
          <w:rFonts w:cs="Times New Roman"/>
        </w:rPr>
      </w:pPr>
      <w:r w:rsidRPr="000F3293">
        <w:rPr>
          <w:rFonts w:cs="Times New Roman"/>
        </w:rPr>
        <w:t xml:space="preserve">Η μελέτη οργανώνεται σε τέσσερις άξονες για κάθε μουσείο. Πρώτον, εξετάζεται ποιος το διοικεί και με ποιο νομικό καθεστώς. Δεύτερον, αναλύονται οι βασικοί νόμοι, τα επίσημα επιχειρήματα και τα αντιπαραθετικά αφηγήματα που αναπτύσσονται γύρω από την επιστροφή ή τη μη επιστροφή. Τρίτον, καταγράφονται τα συμφέροντα και οι φωνές που κινητοποιούν ή αντιστέκονται στην αλλαγή, από κρατικούς φορείς και διοικήσεις μουσείων έως επιτροπές, κοινότητες προέλευσης, διεθνείς οργανισμούς, ακαδημαϊκούς και κοινή γνώμη. Τέταρτον, αξιοποιούνται δελτία τύπου, επίσημες ανακοινώσεις και ετήσιες εκθέσεις για να αποτυπωθεί με σχετική ακρίβεια τι έχει συμβεί σε κάθε βήμα, όχι μόνο ως αφηρημένη θέση, αλλά ως διαδοχή αποφάσεων, δηλώσεων και διοικητικών ενεργειών (British </w:t>
      </w:r>
      <w:proofErr w:type="spellStart"/>
      <w:r w:rsidRPr="000F3293">
        <w:rPr>
          <w:rFonts w:cs="Times New Roman"/>
        </w:rPr>
        <w:t>Museum</w:t>
      </w:r>
      <w:proofErr w:type="spellEnd"/>
      <w:r w:rsidRPr="000F3293">
        <w:rPr>
          <w:rFonts w:cs="Times New Roman"/>
        </w:rPr>
        <w:t xml:space="preserve">, 2025a, </w:t>
      </w:r>
      <w:proofErr w:type="spellStart"/>
      <w:r w:rsidRPr="000F3293">
        <w:rPr>
          <w:rFonts w:cs="Times New Roman"/>
        </w:rPr>
        <w:t>n.d</w:t>
      </w:r>
      <w:proofErr w:type="spellEnd"/>
      <w:r w:rsidRPr="000F3293">
        <w:rPr>
          <w:rFonts w:cs="Times New Roman"/>
        </w:rPr>
        <w:t xml:space="preserve">.-b, </w:t>
      </w:r>
      <w:proofErr w:type="spellStart"/>
      <w:r w:rsidRPr="000F3293">
        <w:rPr>
          <w:rFonts w:cs="Times New Roman"/>
        </w:rPr>
        <w:t>n.d</w:t>
      </w:r>
      <w:proofErr w:type="spellEnd"/>
      <w:r w:rsidRPr="000F3293">
        <w:rPr>
          <w:rFonts w:cs="Times New Roman"/>
        </w:rPr>
        <w:t xml:space="preserve">.-c,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2022a, 2022b, 2024a,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2022a, 2022b, 2023a).</w:t>
      </w:r>
    </w:p>
    <w:p w14:paraId="498B2F15" w14:textId="2724F585" w:rsidR="001358B2" w:rsidRPr="000F3293" w:rsidRDefault="001358B2" w:rsidP="001358B2">
      <w:pPr>
        <w:spacing w:after="120" w:line="360" w:lineRule="auto"/>
        <w:ind w:firstLine="720"/>
        <w:jc w:val="both"/>
        <w:rPr>
          <w:rFonts w:cs="Times New Roman"/>
        </w:rPr>
      </w:pPr>
      <w:r w:rsidRPr="000F3293">
        <w:rPr>
          <w:rFonts w:cs="Times New Roman"/>
        </w:rPr>
        <w:t xml:space="preserve">Μεθοδολογικά, η επιλογή αυτών των τριών περιπτώσεων επιτρέπει μια σύγκριση όχι μόνο μεταξύ επιτυχίας και αποτυχίας, αλλά κυρίως μεταξύ διαφορετικών θεσμικών γλωσσών. Το Μουσείο Ακρόπολης μιλά τη γλώσσα της ακεραιότητας, του </w:t>
      </w:r>
      <w:proofErr w:type="spellStart"/>
      <w:r w:rsidRPr="000F3293">
        <w:rPr>
          <w:rFonts w:cs="Times New Roman"/>
        </w:rPr>
        <w:t>συμφραζομένου</w:t>
      </w:r>
      <w:proofErr w:type="spellEnd"/>
      <w:r w:rsidRPr="000F3293">
        <w:rPr>
          <w:rFonts w:cs="Times New Roman"/>
        </w:rPr>
        <w:t xml:space="preserve"> και της επανένωσης. Το Βρετανικό Μουσείο μιλά τη γλώσσα της νόμιμης κτήσης, του δημόσιου οφέλους και του οικουμενικού μουσείου. Το Μουσείο </w:t>
      </w:r>
      <w:proofErr w:type="spellStart"/>
      <w:r w:rsidRPr="000F3293">
        <w:rPr>
          <w:rFonts w:cs="Times New Roman"/>
        </w:rPr>
        <w:t>Horniman</w:t>
      </w:r>
      <w:proofErr w:type="spellEnd"/>
      <w:r w:rsidRPr="000F3293">
        <w:rPr>
          <w:rFonts w:cs="Times New Roman"/>
        </w:rPr>
        <w:t xml:space="preserve"> μιλά τη γλώσσα της ηθικής υποχρέωσης, της διαβούλευσης και της μετασχηματιστικής συνεργασίας. Αυτές οι τρεις γλώσσες δεν είναι απλώς ρητορικές επιλογές. Συνδέονται με διαφορετικά μοντέλα διοίκησης, διαφορετική σχέση με το κράτος και διαφορετική δυνατότητα μετατροπής της ηθικής πίεσης σε θεσμική πράξη. Γι’ αυτό και τα τρία μουσεία, εξεταζόμενα μαζί, συνιστούν ένα ιδιαίτερα εύγλωττο εργαστήριο για τη μελέτη της σύγχρονης πολιτιστικής διπλωματίας, της μουσειακής διακυβέρνησης και της πολιτικής της επιστροφής.</w:t>
      </w:r>
    </w:p>
    <w:p w14:paraId="3416E300" w14:textId="0C20771F" w:rsidR="0043019D" w:rsidRPr="000F3293" w:rsidRDefault="0043019D" w:rsidP="0043019D">
      <w:pPr>
        <w:spacing w:line="360" w:lineRule="auto"/>
        <w:ind w:firstLine="720"/>
        <w:jc w:val="both"/>
        <w:rPr>
          <w:rFonts w:cs="Times New Roman"/>
        </w:rPr>
      </w:pPr>
      <w:r w:rsidRPr="000F3293">
        <w:rPr>
          <w:rFonts w:cs="Times New Roman"/>
        </w:rPr>
        <w:t xml:space="preserve">Η εργασία οργανώνεται σε πέντε βασικά μέρη. Στο </w:t>
      </w:r>
      <w:r w:rsidR="001358B2" w:rsidRPr="000F3293">
        <w:rPr>
          <w:rFonts w:cs="Times New Roman"/>
        </w:rPr>
        <w:t xml:space="preserve">πρώτο και </w:t>
      </w:r>
      <w:r w:rsidRPr="000F3293">
        <w:rPr>
          <w:rFonts w:cs="Times New Roman"/>
        </w:rPr>
        <w:t xml:space="preserve">δεύτερο κεφάλαιο παρουσιάζεται το θεωρητικό και εννοιολογικό πλαίσιο της μελέτης. Εξετάζονται οι βασικές αρχές της πολιτιστικής πολιτικής, η σχέση κράτους και πολιτιστικών οργανισμών, τα μοντέλα διοίκησης, οι στρατηγικές διαχείρισης πολιτιστικών αγαθών, καθώς και ο ρόλος της πολιτιστικής διπλωματίας, των διεθνών οργανισμών και των κωδίκων δεοντολογίας. Ιδιαίτερη βαρύτητα αποδίδεται στο διεθνές δίκαιο της πολιτιστικής κληρονομιάς, στο ζήτημα της μη αναδρομικότητας </w:t>
      </w:r>
      <w:r w:rsidRPr="000F3293">
        <w:rPr>
          <w:rFonts w:cs="Times New Roman"/>
        </w:rPr>
        <w:lastRenderedPageBreak/>
        <w:t xml:space="preserve">των διεθνών συμβάσεων και στις θεωρητικές σχολές που συγκρούονται γύρω από την ιδιοκτησία και τη θέση των πολιτιστικών αγαθών. Στο τρίτο κεφάλαιο αναπτύσσεται η συγκριτική ανάλυση των τριών μουσείων ως μελετών περίπτωσης επαναπατρισμού και επιστροφής. Αρχικά, προσδιορίζεται η μεθοδολογική οριοθέτηση των τριών περιπτώσεων. Στη συνέχεια, αναλύεται το Μουσείο Ακρόπολης ως μουσείο υποδοχής και ως χωρικό επιχείρημα υπέρ της επανένωσης, το Βρετανικό Μουσείο ως θεσμός κατοχής, νομικής ακαμψίας και υπεράσπισης του οικουμενικού μουσείου, και το Μουσείο </w:t>
      </w:r>
      <w:r w:rsidRPr="000F3293">
        <w:rPr>
          <w:rFonts w:cs="Times New Roman"/>
          <w:lang w:val="en-US"/>
        </w:rPr>
        <w:t>Horniman</w:t>
      </w:r>
      <w:r w:rsidRPr="000F3293">
        <w:rPr>
          <w:rFonts w:cs="Times New Roman"/>
        </w:rPr>
        <w:t xml:space="preserve"> ως παράδειγμα μετάβασης από τη διαβούλευση στη μεταβίβαση κυριότητας, με ιδιαίτερη αναφορά στη συμβολή του αρχαιολόγου </w:t>
      </w:r>
      <w:r w:rsidRPr="000F3293">
        <w:rPr>
          <w:rFonts w:cs="Times New Roman"/>
          <w:lang w:val="en-US"/>
        </w:rPr>
        <w:t>Nick</w:t>
      </w:r>
      <w:r w:rsidRPr="000F3293">
        <w:rPr>
          <w:rFonts w:cs="Times New Roman"/>
        </w:rPr>
        <w:t xml:space="preserve"> </w:t>
      </w:r>
      <w:r w:rsidRPr="000F3293">
        <w:rPr>
          <w:rFonts w:cs="Times New Roman"/>
          <w:lang w:val="en-US"/>
        </w:rPr>
        <w:t>Merriman</w:t>
      </w:r>
      <w:r w:rsidRPr="000F3293">
        <w:rPr>
          <w:rFonts w:cs="Times New Roman"/>
        </w:rPr>
        <w:t>. Το κεφάλαιο ολοκληρώνεται με συγκριτική αποτίμηση, όπου αναδεικνύονται οι διαφορετικές ερμηνευτικές και διοικητικές λογικές των τριών ιδρυμάτων.</w:t>
      </w:r>
    </w:p>
    <w:p w14:paraId="6D0F54CF" w14:textId="3B8B25B4" w:rsidR="0043019D" w:rsidRPr="000F3293" w:rsidRDefault="0043019D" w:rsidP="0043019D">
      <w:pPr>
        <w:spacing w:line="360" w:lineRule="auto"/>
        <w:ind w:firstLine="720"/>
        <w:jc w:val="both"/>
        <w:rPr>
          <w:rFonts w:cs="Times New Roman"/>
        </w:rPr>
      </w:pPr>
      <w:r w:rsidRPr="000F3293">
        <w:rPr>
          <w:rFonts w:cs="Times New Roman"/>
        </w:rPr>
        <w:t xml:space="preserve">Το τέταρτο κεφάλαιο περιλαμβάνει </w:t>
      </w:r>
      <w:r w:rsidR="00A31BEB" w:rsidRPr="000F3293">
        <w:rPr>
          <w:rFonts w:cs="Times New Roman"/>
        </w:rPr>
        <w:t>τα βασικά συμπεράσματα της έρευνας</w:t>
      </w:r>
      <w:r w:rsidRPr="000F3293">
        <w:rPr>
          <w:rFonts w:cs="Times New Roman"/>
        </w:rPr>
        <w:t xml:space="preserve">. Εκεί επιχειρείται η σύνδεση των εμπειρικών παρατηρήσεων με το θεωρητικό πλαίσιο της εργασίας. Αναλύεται πώς το δίκαιο λειτουργεί όχι μόνο ως σύστημα κανόνων αλλά και ως σύστημα νομιμοποιητικών αφηγήσεων, πώς η έννοια του δημόσιου οφέλους αποκτά ανταγωνιστικές ερμηνείες και πώς η μουσειακή επικοινωνία μετατρέπεται σε καθημερινό μηχανισμό πολιτιστικής διπλωματίας. Εξετάζεται επίσης η σημασία των ηγετικών προσώπων, ιδίως στην περίπτωση του </w:t>
      </w:r>
      <w:r w:rsidRPr="000F3293">
        <w:rPr>
          <w:rFonts w:cs="Times New Roman"/>
          <w:lang w:val="en-GB"/>
        </w:rPr>
        <w:t>Nick</w:t>
      </w:r>
      <w:r w:rsidRPr="000F3293">
        <w:rPr>
          <w:rFonts w:cs="Times New Roman"/>
        </w:rPr>
        <w:t xml:space="preserve"> </w:t>
      </w:r>
      <w:r w:rsidRPr="000F3293">
        <w:rPr>
          <w:rFonts w:cs="Times New Roman"/>
          <w:lang w:val="en-US"/>
        </w:rPr>
        <w:t>Merriman</w:t>
      </w:r>
      <w:r w:rsidRPr="000F3293">
        <w:rPr>
          <w:rFonts w:cs="Times New Roman"/>
        </w:rPr>
        <w:t>, και η δυνατότητα μετάβασης από τη λογική της σύγκρουσης στη λογική της διακυβέρνησης.</w:t>
      </w:r>
    </w:p>
    <w:p w14:paraId="003572ED" w14:textId="5F94A0E9" w:rsidR="0043019D" w:rsidRPr="000F3293" w:rsidRDefault="00A31BEB" w:rsidP="0043019D">
      <w:pPr>
        <w:spacing w:line="360" w:lineRule="auto"/>
        <w:ind w:firstLine="720"/>
        <w:jc w:val="both"/>
        <w:rPr>
          <w:rFonts w:cs="Times New Roman"/>
        </w:rPr>
      </w:pPr>
      <w:r w:rsidRPr="000F3293">
        <w:rPr>
          <w:rFonts w:cs="Times New Roman"/>
        </w:rPr>
        <w:t>Τ</w:t>
      </w:r>
      <w:r w:rsidR="0043019D" w:rsidRPr="000F3293">
        <w:rPr>
          <w:rFonts w:cs="Times New Roman"/>
        </w:rPr>
        <w:t xml:space="preserve">ο πέμπτο και τελευταίο κεφάλαιο </w:t>
      </w:r>
      <w:r w:rsidRPr="000F3293">
        <w:rPr>
          <w:rFonts w:cs="Times New Roman"/>
        </w:rPr>
        <w:t xml:space="preserve">λειτουργεί εν </w:t>
      </w:r>
      <w:proofErr w:type="spellStart"/>
      <w:r w:rsidRPr="000F3293">
        <w:rPr>
          <w:rFonts w:cs="Times New Roman"/>
        </w:rPr>
        <w:t>είδει</w:t>
      </w:r>
      <w:proofErr w:type="spellEnd"/>
      <w:r w:rsidRPr="000F3293">
        <w:rPr>
          <w:rFonts w:cs="Times New Roman"/>
        </w:rPr>
        <w:t xml:space="preserve"> επιλόγου της εργασίας</w:t>
      </w:r>
      <w:r w:rsidR="0043019D" w:rsidRPr="000F3293">
        <w:rPr>
          <w:rFonts w:cs="Times New Roman"/>
        </w:rPr>
        <w:t xml:space="preserve">. Ιδιαίτερη έμφαση δίνεται στην ανάγκη </w:t>
      </w:r>
      <w:proofErr w:type="spellStart"/>
      <w:r w:rsidR="0043019D" w:rsidRPr="000F3293">
        <w:rPr>
          <w:rFonts w:cs="Times New Roman"/>
        </w:rPr>
        <w:t>πολυτοπικών</w:t>
      </w:r>
      <w:proofErr w:type="spellEnd"/>
      <w:r w:rsidR="0043019D" w:rsidRPr="000F3293">
        <w:rPr>
          <w:rFonts w:cs="Times New Roman"/>
        </w:rPr>
        <w:t xml:space="preserve"> ποιοτικών μελετών, στη συστηματική ανάλυση του μουσειακού λόγου, στη συγκριτική μελέτη περισσότερων ιδρυμάτων με υβριδικές πολιτικές επιστροφής και στη διερεύνηση του ρόλου των ηγετικών προσώπων στη διαμόρφωση θεσμικής αλλαγής. Παράλληλα, διατυπώνονται πρακτικές κατευθύνσεις πολιτικής, όπως η επένδυση στην έρευνα προέλευσης, στις θεσμοθετημένες διαδικασίες διαβούλευσης και στα διαφανή πρωτόκολλα λήψης αποφάσεων.</w:t>
      </w:r>
    </w:p>
    <w:p w14:paraId="1D86ACF7" w14:textId="571B63E8" w:rsidR="0043019D" w:rsidRPr="000F3293" w:rsidRDefault="0043019D" w:rsidP="0043019D">
      <w:pPr>
        <w:spacing w:line="360" w:lineRule="auto"/>
        <w:ind w:firstLine="720"/>
        <w:jc w:val="both"/>
        <w:rPr>
          <w:rFonts w:cs="Times New Roman"/>
        </w:rPr>
      </w:pPr>
      <w:r w:rsidRPr="000F3293">
        <w:rPr>
          <w:rFonts w:cs="Times New Roman"/>
        </w:rPr>
        <w:t xml:space="preserve">Συνολικά, η παρούσα εργασία επιδιώκει να συμβάλει στη συζήτηση για τον επαναπατρισμό πολιτιστικών αγαθών αναδεικνύοντας ότι οι σύγχρονες διεκδικήσεις δεν κρίνονται μόνο στο επίπεδο της ιστορικής αλήθειας ή της νομικής ορθότητας, αλλά και στο επίπεδο της θεσμικής </w:t>
      </w:r>
      <w:proofErr w:type="spellStart"/>
      <w:r w:rsidRPr="000F3293">
        <w:rPr>
          <w:rFonts w:cs="Times New Roman"/>
        </w:rPr>
        <w:t>αυτοερμηνείας</w:t>
      </w:r>
      <w:proofErr w:type="spellEnd"/>
      <w:r w:rsidRPr="000F3293">
        <w:rPr>
          <w:rFonts w:cs="Times New Roman"/>
        </w:rPr>
        <w:t xml:space="preserve">, της διοικητικής δομής και της δημόσιας πειστικότητας. Υπό αυτή την </w:t>
      </w:r>
      <w:r w:rsidRPr="000F3293">
        <w:rPr>
          <w:rFonts w:cs="Times New Roman"/>
        </w:rPr>
        <w:lastRenderedPageBreak/>
        <w:t xml:space="preserve">έννοια, τα μουσεία αναδεικνύονται όχι απλώς ως αποδέκτες πολιτικής πίεσης, αλλά ως ενεργοί παραγωγοί πολιτιστικής διπλωματίας, ιστορικής ερμηνείας και πολιτιστικής δικαιοσύνης.  </w:t>
      </w:r>
    </w:p>
    <w:p w14:paraId="04BC1C1A" w14:textId="77777777" w:rsidR="00F05D0C" w:rsidRPr="000F3293" w:rsidRDefault="00F05D0C" w:rsidP="00C52CFB">
      <w:pPr>
        <w:rPr>
          <w:rFonts w:cs="Times New Roman"/>
        </w:rPr>
      </w:pPr>
    </w:p>
    <w:p w14:paraId="57E60AFA" w14:textId="77777777" w:rsidR="0043019D" w:rsidRPr="000F3293" w:rsidRDefault="0043019D" w:rsidP="00C52CFB">
      <w:pPr>
        <w:rPr>
          <w:rFonts w:cs="Times New Roman"/>
        </w:rPr>
      </w:pPr>
    </w:p>
    <w:p w14:paraId="5D3F3B02" w14:textId="5B13523F" w:rsidR="0043019D" w:rsidRPr="000F3293" w:rsidRDefault="002465EE" w:rsidP="001358B2">
      <w:pPr>
        <w:pStyle w:val="1"/>
      </w:pPr>
      <w:bookmarkStart w:id="5" w:name="_Toc233154557"/>
      <w:r w:rsidRPr="000F3293">
        <w:t>Κεφάλαιο 1</w:t>
      </w:r>
      <w:r w:rsidR="0043019D" w:rsidRPr="000F3293">
        <w:t>. Θεωρητικό και εννοιολογικό πλαίσιο του επαναπατρισμού πολιτιστικών αγαθών</w:t>
      </w:r>
      <w:bookmarkEnd w:id="5"/>
    </w:p>
    <w:p w14:paraId="6D0B0973" w14:textId="345D7BF8" w:rsidR="0043019D" w:rsidRPr="000F3293" w:rsidRDefault="002465EE" w:rsidP="001358B2">
      <w:pPr>
        <w:pStyle w:val="1"/>
      </w:pPr>
      <w:bookmarkStart w:id="6" w:name="_Toc233154558"/>
      <w:r w:rsidRPr="000F3293">
        <w:t>1</w:t>
      </w:r>
      <w:r w:rsidR="0043019D" w:rsidRPr="000F3293">
        <w:t>.1 Πολιτιστική πολιτική και διοίκηση πολιτιστικών οργανισμών</w:t>
      </w:r>
      <w:bookmarkEnd w:id="6"/>
    </w:p>
    <w:p w14:paraId="2A7C821C" w14:textId="4C8FA8B0" w:rsidR="00B802E2" w:rsidRPr="000F3293" w:rsidRDefault="002465EE" w:rsidP="001358B2">
      <w:pPr>
        <w:pStyle w:val="1"/>
        <w:rPr>
          <w:lang w:val="tr-TR"/>
        </w:rPr>
      </w:pPr>
      <w:bookmarkStart w:id="7" w:name="_Toc233154559"/>
      <w:r w:rsidRPr="000F3293">
        <w:t>1</w:t>
      </w:r>
      <w:r w:rsidR="00B802E2" w:rsidRPr="000F3293">
        <w:t>.1.1 Ορισμός και βασικές αρχές πολιτιστικής πολιτικής</w:t>
      </w:r>
      <w:bookmarkEnd w:id="7"/>
      <w:r w:rsidR="00B802E2" w:rsidRPr="000F3293">
        <w:t xml:space="preserve"> </w:t>
      </w:r>
    </w:p>
    <w:p w14:paraId="05982CEA" w14:textId="77777777" w:rsidR="00B802E2" w:rsidRPr="000F3293" w:rsidRDefault="00B802E2" w:rsidP="00DF3F50">
      <w:pPr>
        <w:spacing w:before="100" w:beforeAutospacing="1" w:after="100" w:afterAutospacing="1" w:line="360" w:lineRule="auto"/>
        <w:jc w:val="both"/>
        <w:rPr>
          <w:rFonts w:eastAsia="Times New Roman" w:cs="Times New Roman"/>
          <w:kern w:val="0"/>
          <w:szCs w:val="24"/>
          <w14:ligatures w14:val="none"/>
        </w:rPr>
      </w:pPr>
      <w:r w:rsidRPr="000F3293">
        <w:rPr>
          <w:rFonts w:eastAsia="Times New Roman" w:cs="Times New Roman"/>
          <w:kern w:val="0"/>
          <w:szCs w:val="24"/>
          <w14:ligatures w14:val="none"/>
        </w:rPr>
        <w:t>Η έννοια της πολιτιστικής πολιτικής έχει απασχολήσει εκτενώς τη διεθνή βιβλιογραφία, καθώς συνιστά έναν από τους βασικότερους άξονες διαμόρφωσης της πολιτιστικής ζωής και της συλλογικής ταυτότητας. Στην πιο γενική της μορφή, η πολιτιστική πολιτική μπορεί να οριστεί ως το σύνολο των μέτρων, θεσμικών ρυθμίσεων και στρατηγικών που εφαρμόζει ένα κράτος ή ένας οργανισμός για την προστασία, προώθηση και αξιοποίηση της πολιτιστικής κληρονομιάς και της σύγχρονης δημιουργίας. Ο ορισμός αυτός περιλαμβάνει τόσο την υλική διάσταση του πολιτισμού (μνημεία, έργα τέχνης, αρχαιολογικά ευρήματα) όσο και την άυλη (παραδόσεις, γλώσσα, έθιμα) (</w:t>
      </w:r>
      <w:proofErr w:type="spellStart"/>
      <w:r w:rsidRPr="000F3293">
        <w:rPr>
          <w:rFonts w:eastAsia="Times New Roman" w:cs="Times New Roman"/>
          <w:kern w:val="0"/>
          <w:szCs w:val="24"/>
          <w14:ligatures w14:val="none"/>
        </w:rPr>
        <w:t>Roehrenbeck</w:t>
      </w:r>
      <w:proofErr w:type="spellEnd"/>
      <w:r w:rsidRPr="000F3293">
        <w:rPr>
          <w:rFonts w:eastAsia="Times New Roman" w:cs="Times New Roman"/>
          <w:kern w:val="0"/>
          <w:szCs w:val="24"/>
          <w14:ligatures w14:val="none"/>
        </w:rPr>
        <w:t>, 2010). Η πολιτιστική πολιτική δεν είναι στατική, αλλά εξελίσσεται ανάλογα με τις κοινωνικές, πολιτικές και οικονομικές συνθήκες. Στην Ευρώπη, μετά τον Β΄ Παγκόσμιο Πόλεμο, η πολιτιστική πολιτική συνδέθηκε με την ανάγκη προστασίας της κληρονομιάς από τις καταστροφές του πολέμου και με την ενίσχυση της εθνικής ταυτότητας. Στην Ελλάδα, η θεσμοθέτηση του Ν. 3028/2002 για την προστασία των αρχαιοτήτων αποτελεί χαρακτηριστικό παράδειγμα της προσπάθειας του κράτους να διαμορφώσει ένα ολοκληρωμένο πλαίσιο πολιτιστικής πολιτικής (</w:t>
      </w:r>
      <w:proofErr w:type="spellStart"/>
      <w:r w:rsidRPr="000F3293">
        <w:rPr>
          <w:rFonts w:eastAsia="Times New Roman" w:cs="Times New Roman"/>
          <w:kern w:val="0"/>
          <w:szCs w:val="24"/>
          <w14:ligatures w14:val="none"/>
        </w:rPr>
        <w:t>Korka</w:t>
      </w:r>
      <w:proofErr w:type="spellEnd"/>
      <w:r w:rsidRPr="000F3293">
        <w:rPr>
          <w:rFonts w:eastAsia="Times New Roman" w:cs="Times New Roman"/>
          <w:kern w:val="0"/>
          <w:szCs w:val="24"/>
          <w14:ligatures w14:val="none"/>
        </w:rPr>
        <w:t>, 2018).</w:t>
      </w:r>
    </w:p>
    <w:p w14:paraId="39FFBE16" w14:textId="77777777" w:rsidR="00B802E2" w:rsidRPr="000F3293" w:rsidRDefault="00D53373" w:rsidP="00DF3F50">
      <w:pPr>
        <w:spacing w:before="100" w:beforeAutospacing="1" w:after="100" w:afterAutospacing="1" w:line="360" w:lineRule="auto"/>
        <w:jc w:val="both"/>
        <w:rPr>
          <w:rFonts w:eastAsia="Times New Roman" w:cs="Times New Roman"/>
          <w:kern w:val="0"/>
          <w:szCs w:val="24"/>
          <w14:ligatures w14:val="none"/>
        </w:rPr>
      </w:pPr>
      <w:r w:rsidRPr="000F3293">
        <w:rPr>
          <w:rFonts w:eastAsia="Times New Roman" w:cs="Times New Roman"/>
          <w:kern w:val="0"/>
          <w:szCs w:val="24"/>
          <w14:ligatures w14:val="none"/>
        </w:rPr>
        <w:tab/>
        <w:t xml:space="preserve">Οι βασικές αρχές που διέπουν την πολιτιστική πολιτική μπορούν να συνοψιστούν σε τέσσερις άξονες: προστασία, προσβασιμότητα, συμμετοχή και βιωσιμότητα. Η προστασία αφορά την εξασφάλιση ότι τα πολιτιστικά αγαθά δεν θα χαθούν ή καταστραφούν, είτε λόγω φυσικών καταστροφών είτε λόγω παράνομης διακίνησης. Η προσβασιμότητα σημαίνει ότι οι πολίτες πρέπει </w:t>
      </w:r>
      <w:r w:rsidRPr="000F3293">
        <w:rPr>
          <w:rFonts w:eastAsia="Times New Roman" w:cs="Times New Roman"/>
          <w:kern w:val="0"/>
          <w:szCs w:val="24"/>
          <w14:ligatures w14:val="none"/>
        </w:rPr>
        <w:lastRenderedPageBreak/>
        <w:t>να έχουν ίσες ευκαιρίες να απολαμβάνουν τον πολιτισμό, ανεξαρτήτως κοινωνικής ή οικονομικής θέσης. Η συμμετοχή αναφέρεται στη δυνατότητα των πολιτών να συμβάλλουν ενεργά στη διαμόρφωση της πολιτιστικής ζωής, ενώ η βιωσιμότητα αφορά την εξασφάλιση ότι οι πολιτιστικές πολιτικές θα έχουν μακροπρόθεσμο αντίκτυπο και δεν θα περιορίζονται σε αποσπασματικές δράσεις (</w:t>
      </w:r>
      <w:proofErr w:type="spellStart"/>
      <w:r w:rsidRPr="000F3293">
        <w:rPr>
          <w:rFonts w:eastAsia="Times New Roman" w:cs="Times New Roman"/>
          <w:kern w:val="0"/>
          <w:szCs w:val="24"/>
          <w14:ligatures w14:val="none"/>
        </w:rPr>
        <w:t>Kavoura</w:t>
      </w:r>
      <w:proofErr w:type="spellEnd"/>
      <w:r w:rsidRPr="000F3293">
        <w:rPr>
          <w:rFonts w:eastAsia="Times New Roman" w:cs="Times New Roman"/>
          <w:kern w:val="0"/>
          <w:szCs w:val="24"/>
          <w14:ligatures w14:val="none"/>
        </w:rPr>
        <w:t xml:space="preserve"> &amp; </w:t>
      </w:r>
      <w:proofErr w:type="spellStart"/>
      <w:r w:rsidRPr="000F3293">
        <w:rPr>
          <w:rFonts w:eastAsia="Times New Roman" w:cs="Times New Roman"/>
          <w:kern w:val="0"/>
          <w:szCs w:val="24"/>
          <w14:ligatures w14:val="none"/>
        </w:rPr>
        <w:t>Sylaiou</w:t>
      </w:r>
      <w:proofErr w:type="spellEnd"/>
      <w:r w:rsidRPr="000F3293">
        <w:rPr>
          <w:rFonts w:eastAsia="Times New Roman" w:cs="Times New Roman"/>
          <w:kern w:val="0"/>
          <w:szCs w:val="24"/>
          <w14:ligatures w14:val="none"/>
        </w:rPr>
        <w:t xml:space="preserve">, 2018). Η διεθνής βιβλιογραφία έχει τονίσει ότι η πολιτιστική πολιτική δεν μπορεί να αποκοπεί από το ευρύτερο πλαίσιο της δημόσιας πολιτικής. Ο </w:t>
      </w:r>
      <w:proofErr w:type="spellStart"/>
      <w:r w:rsidRPr="000F3293">
        <w:rPr>
          <w:rFonts w:eastAsia="Times New Roman" w:cs="Times New Roman"/>
          <w:kern w:val="0"/>
          <w:szCs w:val="24"/>
          <w14:ligatures w14:val="none"/>
        </w:rPr>
        <w:t>Gray</w:t>
      </w:r>
      <w:proofErr w:type="spellEnd"/>
      <w:r w:rsidRPr="000F3293">
        <w:rPr>
          <w:rFonts w:eastAsia="Times New Roman" w:cs="Times New Roman"/>
          <w:kern w:val="0"/>
          <w:szCs w:val="24"/>
          <w14:ligatures w14:val="none"/>
        </w:rPr>
        <w:t xml:space="preserve"> (2015) υποστηρίζει ότι η πολιτιστική πολιτική αποτελεί μέρος της κοινωνικής πολιτικής, καθώς επηρεάζει την κοινωνική συνοχή και την ανάπτυξη της συλλογικής μνήμης. Παράλληλα, η πολιτιστική πολιτική συνδέεται με την οικονομική πολιτική, καθώς η πολιτιστική βιομηχανία συμβάλλει σημαντικά στο ΑΕΠ πολλών χωρών.</w:t>
      </w:r>
    </w:p>
    <w:p w14:paraId="232C2ADC" w14:textId="77777777" w:rsidR="00F67507" w:rsidRPr="000F3293" w:rsidRDefault="00844534" w:rsidP="00DF3F50">
      <w:pPr>
        <w:spacing w:before="100" w:beforeAutospacing="1" w:after="100" w:afterAutospacing="1" w:line="360" w:lineRule="auto"/>
        <w:jc w:val="both"/>
        <w:rPr>
          <w:rFonts w:eastAsia="Times New Roman" w:cs="Times New Roman"/>
          <w:kern w:val="0"/>
          <w:szCs w:val="24"/>
          <w14:ligatures w14:val="none"/>
        </w:rPr>
      </w:pPr>
      <w:r w:rsidRPr="000F3293">
        <w:rPr>
          <w:rFonts w:eastAsia="Times New Roman" w:cs="Times New Roman"/>
          <w:kern w:val="0"/>
          <w:szCs w:val="24"/>
          <w14:ligatures w14:val="none"/>
        </w:rPr>
        <w:tab/>
        <w:t xml:space="preserve">Η UNESCO έχει διατυπώσει σαφείς κατευθυντήριες γραμμές για την πολιτιστική πολιτική, τονίζοντας ότι πρέπει να βασίζεται στις αρχές της </w:t>
      </w:r>
      <w:proofErr w:type="spellStart"/>
      <w:r w:rsidRPr="000F3293">
        <w:rPr>
          <w:rFonts w:eastAsia="Times New Roman" w:cs="Times New Roman"/>
          <w:kern w:val="0"/>
          <w:szCs w:val="24"/>
          <w14:ligatures w14:val="none"/>
        </w:rPr>
        <w:t>πολυπολιτισμικότητας</w:t>
      </w:r>
      <w:proofErr w:type="spellEnd"/>
      <w:r w:rsidRPr="000F3293">
        <w:rPr>
          <w:rFonts w:eastAsia="Times New Roman" w:cs="Times New Roman"/>
          <w:kern w:val="0"/>
          <w:szCs w:val="24"/>
          <w14:ligatures w14:val="none"/>
        </w:rPr>
        <w:t xml:space="preserve">, της ισότητας και της προστασίας της πολιτιστικής ποικιλομορφίας (UNESCO, 2005). Η Σύμβαση για την προστασία και την προώθηση της πολυμορφίας της πολιτιστικής έκφρασης (2005) αποτελεί θεμέλιο για την ανάπτυξη πολιτικών που σέβονται τις διαφορετικές πολιτιστικές εκφράσεις και ενισχύουν τη συνεργασία μεταξύ κρατών. Στην πράξη, η πολιτιστική πολιτική συχνά καλείται να ισορροπήσει ανάμεσα σε δύο αντίρροπες τάσεις: τον πολιτιστικό εθνικισμό και τον πολιτιστικό διεθνισμό. Ο </w:t>
      </w:r>
      <w:proofErr w:type="spellStart"/>
      <w:r w:rsidRPr="000F3293">
        <w:rPr>
          <w:rFonts w:eastAsia="Times New Roman" w:cs="Times New Roman"/>
          <w:kern w:val="0"/>
          <w:szCs w:val="24"/>
          <w14:ligatures w14:val="none"/>
        </w:rPr>
        <w:t>Merryman</w:t>
      </w:r>
      <w:proofErr w:type="spellEnd"/>
      <w:r w:rsidRPr="000F3293">
        <w:rPr>
          <w:rFonts w:eastAsia="Times New Roman" w:cs="Times New Roman"/>
          <w:kern w:val="0"/>
          <w:szCs w:val="24"/>
          <w14:ligatures w14:val="none"/>
        </w:rPr>
        <w:t xml:space="preserve"> (1985) επισημαίνει ότι ο πολιτιστικός εθνικισμός θεωρεί τα πολιτιστικά αγαθά ως αναπόσπαστο μέρος της εθνικής ταυτότητας και άρα πρέπει να παραμένουν εντός των συνόρων της χώρας προέλευσης. Αντίθετα, ο πολιτιστικός διεθνισμός υποστηρίζει ότι η πολιτιστική κληρονομιά ανήκει σε όλη την ανθρωπότητα και πρέπει να είναι </w:t>
      </w:r>
      <w:proofErr w:type="spellStart"/>
      <w:r w:rsidRPr="000F3293">
        <w:rPr>
          <w:rFonts w:eastAsia="Times New Roman" w:cs="Times New Roman"/>
          <w:kern w:val="0"/>
          <w:szCs w:val="24"/>
          <w14:ligatures w14:val="none"/>
        </w:rPr>
        <w:t>προσβάσιμη</w:t>
      </w:r>
      <w:proofErr w:type="spellEnd"/>
      <w:r w:rsidRPr="000F3293">
        <w:rPr>
          <w:rFonts w:eastAsia="Times New Roman" w:cs="Times New Roman"/>
          <w:kern w:val="0"/>
          <w:szCs w:val="24"/>
          <w14:ligatures w14:val="none"/>
        </w:rPr>
        <w:t xml:space="preserve"> διεθνώς. Η πολιτιστική πολιτική κάθε κράτους καλείται να βρει μια ισορροπία ανάμεσα σε αυτές τις δύο προσεγγίσεις. Επιπλέον, η πολιτιστική πολιτική δεν περιορίζεται μόνο στη διαχείριση της κληρονομιάς, αλλά επεκτείνεται και στη στήριξη της σύγχρονης δημιουργίας. Η ενίσχυση των καλλιτεχνών, η χρηματοδότηση πολιτιστικών προγραμμάτων και η προώθηση της καινοτομίας αποτελούν κρίσιμα στοιχεία. Όπως σημειώνει η </w:t>
      </w:r>
      <w:proofErr w:type="spellStart"/>
      <w:r w:rsidRPr="000F3293">
        <w:rPr>
          <w:rFonts w:eastAsia="Times New Roman" w:cs="Times New Roman"/>
          <w:kern w:val="0"/>
          <w:szCs w:val="24"/>
          <w14:ligatures w14:val="none"/>
        </w:rPr>
        <w:t>Grincheva</w:t>
      </w:r>
      <w:proofErr w:type="spellEnd"/>
      <w:r w:rsidRPr="000F3293">
        <w:rPr>
          <w:rFonts w:eastAsia="Times New Roman" w:cs="Times New Roman"/>
          <w:kern w:val="0"/>
          <w:szCs w:val="24"/>
          <w14:ligatures w14:val="none"/>
        </w:rPr>
        <w:t xml:space="preserve"> (2024), η πολιτιστική πολιτική πρέπει να ενσωματώνει νέες μορφές πολιτιστικής έκφρασης, όπως η ψηφιακή τέχνη και οι </w:t>
      </w:r>
      <w:proofErr w:type="spellStart"/>
      <w:r w:rsidRPr="000F3293">
        <w:rPr>
          <w:rFonts w:eastAsia="Times New Roman" w:cs="Times New Roman"/>
          <w:kern w:val="0"/>
          <w:szCs w:val="24"/>
          <w14:ligatures w14:val="none"/>
        </w:rPr>
        <w:t>διαδραστικές</w:t>
      </w:r>
      <w:proofErr w:type="spellEnd"/>
      <w:r w:rsidRPr="000F3293">
        <w:rPr>
          <w:rFonts w:eastAsia="Times New Roman" w:cs="Times New Roman"/>
          <w:kern w:val="0"/>
          <w:szCs w:val="24"/>
          <w14:ligatures w14:val="none"/>
        </w:rPr>
        <w:t xml:space="preserve"> πλατφόρμες, ώστε να ανταποκρίνεται στις ανάγκες της σύγχρονης κοινωνίας. Συνοψίζοντας, η πολιτιστική πολιτική είναι ένα πολυδιάστατο πεδίο που συνδυάζει την προστασία της κληρονομιάς με την προώθηση της δημιουργικότητας και της συμμετοχής. </w:t>
      </w:r>
    </w:p>
    <w:p w14:paraId="7074FDBB" w14:textId="51093187" w:rsidR="00B802E2" w:rsidRPr="000F3293" w:rsidRDefault="002465EE" w:rsidP="001358B2">
      <w:pPr>
        <w:pStyle w:val="1"/>
      </w:pPr>
      <w:bookmarkStart w:id="8" w:name="_Toc233154560"/>
      <w:r w:rsidRPr="000F3293">
        <w:lastRenderedPageBreak/>
        <w:t>1</w:t>
      </w:r>
      <w:r w:rsidR="00B802E2" w:rsidRPr="000F3293">
        <w:t>.1.2 Σχέση κράτους- πολιτιστικών οργανισμών</w:t>
      </w:r>
      <w:bookmarkEnd w:id="8"/>
    </w:p>
    <w:p w14:paraId="5336D788" w14:textId="77777777" w:rsidR="00B802E2" w:rsidRPr="000F3293" w:rsidRDefault="00B802E2" w:rsidP="00DF3F50">
      <w:pPr>
        <w:pStyle w:val="Web"/>
        <w:spacing w:line="360" w:lineRule="auto"/>
        <w:jc w:val="both"/>
      </w:pPr>
      <w:r w:rsidRPr="000F3293">
        <w:t>Η σχέση μεταξύ κράτους και πολιτιστικών οργανισμών αποτελεί έναν από τους πιο κρίσιμους άξονες της πολιτιστικής πολιτικής. Το κράτος, ως θεματοφύλακας της πολιτιστικής κληρονομιάς, έχει την ευθύνη να διαμορφώνει το θεσμικό πλαίσιο, να παρέχει χρηματοδότηση και να εποπτεύει τη λειτουργία των πολιτιστικών φορέων. Από την άλλη πλευρά, οι πολιτιστικοί οργανισμοί, όπως τα μουσεία, οι βιβλιοθήκες, τα θέατρα και οι εφορείες αρχαιοτήτων, καλούνται να υλοποιήσουν τις πολιτικές αυτές, να διαχειριστούν τα πολιτιστικά αγαθά και να προσφέρουν υπηρεσίες στο κοινό. Η σχέση αυτή είναι αμφίδρομη και συχνά χαρακτηρίζεται από εντάσεις, καθώς οι οργανισμοί διεκδικούν αυτονομία και ευελιξία, ενώ το κράτος επιδιώκει έλεγχο και συμμόρφωση με τους νόμους (</w:t>
      </w:r>
      <w:proofErr w:type="spellStart"/>
      <w:r w:rsidRPr="000F3293">
        <w:t>Korka</w:t>
      </w:r>
      <w:proofErr w:type="spellEnd"/>
      <w:r w:rsidRPr="000F3293">
        <w:t>, 2018). Στην ελληνική περίπτωση, το Υπουργείο Πολιτισμού και Αθλητισμού αποτελεί τον κεντρικό φορέα χάραξης πολιτιστικής πολιτικής. Οι δημόσιοι οργανισμοί, όπως οι Εφορείες Αρχαιοτήτων, λειτουργούν υπό την εποπτεία του, ενώ τα μεγάλα εθνικά ιδρύματα (Εθνικό Θέατρο, Εθνική Λυρική Σκηνή, Εθνική Βιβλιοθήκη) λαμβάνουν κρατική χρηματοδότηση και εποπτεία. Ωστόσο, η σχέση αυτή δεν είναι πάντα αρμονική. Συχνά προκύπτουν ζητήματα σχετικά με την επάρκεια των πόρων, την κατανομή αρμοδιοτήτων και την ελευθερία των οργανισμών, οι οποίοι προχωρούν σε διεθνείς συνεργασίες ή υιοθετούν καινοτόμες πρακτικές (</w:t>
      </w:r>
      <w:proofErr w:type="spellStart"/>
      <w:r w:rsidRPr="000F3293">
        <w:t>Bursey</w:t>
      </w:r>
      <w:proofErr w:type="spellEnd"/>
      <w:r w:rsidRPr="000F3293">
        <w:t>, 2023).</w:t>
      </w:r>
    </w:p>
    <w:p w14:paraId="23FBDACC" w14:textId="17EC2023" w:rsidR="005D7262" w:rsidRPr="000F3293" w:rsidRDefault="00AF6AE2" w:rsidP="00DF3F50">
      <w:pPr>
        <w:pStyle w:val="Web"/>
        <w:spacing w:line="360" w:lineRule="auto"/>
        <w:jc w:val="both"/>
      </w:pPr>
      <w:r w:rsidRPr="000F3293">
        <w:tab/>
        <w:t>Σε διεθνές επίπεδο, η σχέση κράτους και οργανισμών διαφοροποιείται ανάλογα με το πολιτικό και οικονομικό πλαίσιο. Στις σκανδιναβικές χώρες, για παράδειγμα, το κράτος έχει ισχυρό ρόλο στη χρηματοδότηση και εποπτεία, ενώ στις Ηνωμένες Πολιτείες οι πολιτιστικοί οργανισμοί στηρίζονται κυρίως σε ιδιωτικές δωρεές και χορηγίες (</w:t>
      </w:r>
      <w:proofErr w:type="spellStart"/>
      <w:r w:rsidRPr="000F3293">
        <w:t>Cuno</w:t>
      </w:r>
      <w:proofErr w:type="spellEnd"/>
      <w:r w:rsidRPr="000F3293">
        <w:t xml:space="preserve">, 2008, σ. 67). Η διαφορετική αυτή προσέγγιση αντανακλά τις ευρύτερες πολιτικές αντιλήψεις για τον ρόλο του κράτους στην κοινωνία. Στην Ευρώπη, η πολιτιστική πολιτική θεωρείται δημόσιο αγαθό και άρα απαιτεί κρατική μέριμνα, ενώ στις ΗΠΑ αντιμετωπίζεται περισσότερο ως πεδίο ιδιωτικής πρωτοβουλίας. Η UNESCO έχει τονίσει ότι η συνεργασία κράτους και πολιτιστικών οργανισμών είναι απαραίτητη για την προστασία της πολιτιστικής κληρονομιάς. Στη Σύμβαση του 1970 για την απαγόρευση της παράνομης εισαγωγής και εξαγωγής πολιτιστικών αγαθών, υπογραμμίζεται ότι τα κράτη πρέπει να δημιουργήσουν θεσμικά πλαίσια που θα επιτρέπουν στους οργανισμούς να λειτουργούν αποτελεσματικά και να συνεργάζονται διεθνώς (UNESCO, 1970). Παράλληλα, η </w:t>
      </w:r>
      <w:r w:rsidRPr="000F3293">
        <w:lastRenderedPageBreak/>
        <w:t xml:space="preserve">σχέση κράτους και οργανισμών επηρεάζεται τόσο από την κοινή γνώμη όσο και από τα μέσα ενημέρωσης. Όταν προκύπτουν ζητήματα, όπως η επιστροφή των </w:t>
      </w:r>
      <w:proofErr w:type="spellStart"/>
      <w:r w:rsidRPr="000F3293">
        <w:t>Παρθενωνίων</w:t>
      </w:r>
      <w:proofErr w:type="spellEnd"/>
      <w:r w:rsidRPr="000F3293">
        <w:t xml:space="preserve"> Μαρμάρων ή των Μπρούντζινων του Μπενίν, οι πολιτιστικοί οργανισμοί βρίσκονται στο επίκεντρο της δημόσιας συζήτησης και καλούνται να ισορροπήσουν ανάμεσα στις απαιτήσεις του κράτους και τις διεθνείς πιέσεις (</w:t>
      </w:r>
      <w:proofErr w:type="spellStart"/>
      <w:r w:rsidRPr="000F3293">
        <w:t>Merryman</w:t>
      </w:r>
      <w:proofErr w:type="spellEnd"/>
      <w:r w:rsidRPr="000F3293">
        <w:t>, 1985). Στην ουσία, η σχέση κράτους και πολιτιστικών οργανισμών είναι δυναμική και πολυδιάστατη. Απαιτεί συνεργασία, αμοιβαία εμπιστοσύνη και σαφές θεσμικό πλαίσιο. Η επιτυχία της εξαρτάται από την ικανότητα του κράτους να παρέχει επαρκείς πόρους και από την ευελιξία των οργανισμών να ανταποκρίνονται στις ανάγκες της κοινωνίας και στις διεθνείς εξελίξεις.</w:t>
      </w:r>
      <w:r w:rsidR="002465EE" w:rsidRPr="000F3293">
        <w:t xml:space="preserve"> </w:t>
      </w:r>
    </w:p>
    <w:p w14:paraId="10058F91" w14:textId="2C97417E" w:rsidR="00B802E2" w:rsidRPr="000F3293" w:rsidRDefault="002465EE" w:rsidP="001358B2">
      <w:pPr>
        <w:pStyle w:val="1"/>
      </w:pPr>
      <w:bookmarkStart w:id="9" w:name="_Toc233154561"/>
      <w:r w:rsidRPr="000F3293">
        <w:t>1</w:t>
      </w:r>
      <w:r w:rsidR="00B802E2" w:rsidRPr="000F3293">
        <w:t>.1.3 Μοντέλα διοίκησης πολιτιστικών οργανισμών</w:t>
      </w:r>
      <w:bookmarkEnd w:id="9"/>
    </w:p>
    <w:p w14:paraId="40615DC8" w14:textId="77777777" w:rsidR="00B802E2" w:rsidRPr="000F3293" w:rsidRDefault="00B802E2" w:rsidP="00DF3F50">
      <w:pPr>
        <w:pStyle w:val="Web"/>
        <w:spacing w:line="360" w:lineRule="auto"/>
        <w:jc w:val="both"/>
      </w:pPr>
      <w:r w:rsidRPr="000F3293">
        <w:t xml:space="preserve">Η διοίκηση των πολιτιστικών οργανισμών αποτελεί κρίσιμο πεδίο μελέτης, καθώς καθορίζει τον τρόπο με τον οποίο οι φορείς αυτοί οργανώνουν τη λειτουργία τους, διαχειρίζονται τους πόρους τους και ανταποκρίνονται στις ανάγκες της κοινωνίας. Στη διεθνή βιβλιογραφία έχουν αναπτυχθεί τρία βασικά μοντέλα διοίκησης: το κρατικό, το ιδιωτικό και το μεικτό. Κάθε μοντέλο αντανακλά διαφορετικές αντιλήψεις για τον ρόλο του κράτους, της αγοράς και της κοινωνίας των πολιτών στη διαχείριση του πολιτισμού. Το </w:t>
      </w:r>
      <w:r w:rsidRPr="000F3293">
        <w:rPr>
          <w:rStyle w:val="a4"/>
          <w:b w:val="0"/>
          <w:bCs w:val="0"/>
        </w:rPr>
        <w:t>κρατικό μοντέλο</w:t>
      </w:r>
      <w:r w:rsidRPr="000F3293">
        <w:t xml:space="preserve"> χαρακτηρίζεται από την πλήρη εποπτεία και χρηματοδότηση των πολιτιστικών οργανισμών από το κράτος. Στην Ευρώπη, ιδιαίτερα στις χώρες με ισχυρή παράδοση κοινωνικού κράτους, το μοντέλο αυτό κυριαρχεί. Στην Ελλάδα, για παράδειγμα, οι περισσότερες πολιτιστικές δομές υπάγονται στο Υπουργείο Πολιτισμού και Αθλητισμού και λειτουργούν με κρατικούς πόρους (</w:t>
      </w:r>
      <w:proofErr w:type="spellStart"/>
      <w:r w:rsidRPr="000F3293">
        <w:t>Korka</w:t>
      </w:r>
      <w:proofErr w:type="spellEnd"/>
      <w:r w:rsidRPr="000F3293">
        <w:t xml:space="preserve">, 2018). Το πλεονέκτημα του κρατικού μοντέλου είναι η σταθερότητα και η θεσμική προστασία, ενώ το μειονέκτημα είναι η γραφειοκρατία και η περιορισμένη ευελιξία. Ο </w:t>
      </w:r>
      <w:proofErr w:type="spellStart"/>
      <w:r w:rsidRPr="000F3293">
        <w:t>Gray</w:t>
      </w:r>
      <w:proofErr w:type="spellEnd"/>
      <w:r w:rsidRPr="000F3293">
        <w:t xml:space="preserve"> (2015) επισημαίνει ότι η υπερβολική εξάρτηση από το κράτος μπορεί να οδηγήσει σε αδράνεια και σε αδυναμία προσαρμογής στις νέες κοινωνικές ανάγκες.</w:t>
      </w:r>
    </w:p>
    <w:p w14:paraId="72578CA8" w14:textId="77777777" w:rsidR="00B802E2" w:rsidRPr="000F3293" w:rsidRDefault="000F0E7F" w:rsidP="00DF3F50">
      <w:pPr>
        <w:pStyle w:val="Web"/>
        <w:spacing w:line="360" w:lineRule="auto"/>
        <w:jc w:val="both"/>
      </w:pPr>
      <w:r w:rsidRPr="000F3293">
        <w:tab/>
        <w:t xml:space="preserve">Το </w:t>
      </w:r>
      <w:r w:rsidRPr="000F3293">
        <w:rPr>
          <w:rStyle w:val="a4"/>
          <w:b w:val="0"/>
          <w:bCs w:val="0"/>
        </w:rPr>
        <w:t>ιδιωτικό μοντέλο</w:t>
      </w:r>
      <w:r w:rsidRPr="000F3293">
        <w:t xml:space="preserve"> βασίζεται στην πρωτοβουλία ιδρυμάτων, εταιρειών ή ιδιωτών. Στις Ηνωμένες Πολιτείες, όπου η κρατική χρηματοδότηση είναι περιορισμένη, τα μουσεία και τα πολιτιστικά ιδρύματα στηρίζονται κυρίως σε δωρεές, χορηγίες και εισιτήρια (</w:t>
      </w:r>
      <w:proofErr w:type="spellStart"/>
      <w:r w:rsidRPr="000F3293">
        <w:t>Cuno</w:t>
      </w:r>
      <w:proofErr w:type="spellEnd"/>
      <w:r w:rsidRPr="000F3293">
        <w:t xml:space="preserve">, 2008). Το πλεονέκτημα είναι η ευελιξία και η δυνατότητα καινοτομίας, ενώ το μειονέκτημα είναι η εξάρτηση </w:t>
      </w:r>
      <w:r w:rsidRPr="000F3293">
        <w:lastRenderedPageBreak/>
        <w:t xml:space="preserve">από την αγορά και η πιθανή εμπορευματοποίηση του πολιτισμού. Ο </w:t>
      </w:r>
      <w:proofErr w:type="spellStart"/>
      <w:r w:rsidRPr="000F3293">
        <w:t>Merryman</w:t>
      </w:r>
      <w:proofErr w:type="spellEnd"/>
      <w:r w:rsidRPr="000F3293">
        <w:t xml:space="preserve"> (1985) σημειώνει ότι η ιδιωτική διοίκηση μπορεί να οδηγήσει σε μεγαλύτερη ποικιλία προγραμμάτων, αλλά συχνά παραμελεί την προστασία της κληρονομιάς όταν αυτή δεν αποφέρει οικονομικό όφελος. Το </w:t>
      </w:r>
      <w:r w:rsidRPr="000F3293">
        <w:rPr>
          <w:rStyle w:val="a4"/>
          <w:b w:val="0"/>
          <w:bCs w:val="0"/>
        </w:rPr>
        <w:t>μεικτό μοντέλο</w:t>
      </w:r>
      <w:r w:rsidRPr="000F3293">
        <w:t xml:space="preserve"> συνδυάζει στοιχεία και από τα δύο. Το κράτος παρέχει θεσμική προστασία και ένα μέρος της χρηματοδότησης, ενώ οι ιδιωτικοί φορείς συμβάλλουν με χορηγίες και διοικητική ευελιξία. Στην πράξη, τα περισσότερα σύγχρονα μουσεία και πολιτιστικά ιδρύματα λειτουργούν με μεικτό μοντέλο, καθώς η αποκλειστική εξάρτηση είτε από το κράτος είτε από την αγορά έχει αποδειχθεί προβληματική (</w:t>
      </w:r>
      <w:proofErr w:type="spellStart"/>
      <w:r w:rsidRPr="000F3293">
        <w:t>Kavoura</w:t>
      </w:r>
      <w:proofErr w:type="spellEnd"/>
      <w:r w:rsidRPr="000F3293">
        <w:t xml:space="preserve"> &amp; </w:t>
      </w:r>
      <w:proofErr w:type="spellStart"/>
      <w:r w:rsidRPr="000F3293">
        <w:t>Sylaiou</w:t>
      </w:r>
      <w:proofErr w:type="spellEnd"/>
      <w:r w:rsidRPr="000F3293">
        <w:t xml:space="preserve">, 2018). Η </w:t>
      </w:r>
      <w:proofErr w:type="spellStart"/>
      <w:r w:rsidRPr="000F3293">
        <w:t>Grincheva</w:t>
      </w:r>
      <w:proofErr w:type="spellEnd"/>
      <w:r w:rsidRPr="000F3293">
        <w:t xml:space="preserve"> (2024) τονίζει ότι το μεικτό μοντέλο επιτρέπει την ανάπτυξη διεθνών συνεργασιών και την αξιοποίηση νέων τεχνολογιών, ενώ παράλληλα διασφαλίζει την προστασία της κληρονομιάς.</w:t>
      </w:r>
    </w:p>
    <w:p w14:paraId="23BC026B" w14:textId="77777777" w:rsidR="00B802E2" w:rsidRPr="000F3293" w:rsidRDefault="001456B3" w:rsidP="00DF3F50">
      <w:pPr>
        <w:pStyle w:val="Web"/>
        <w:spacing w:line="360" w:lineRule="auto"/>
        <w:jc w:val="both"/>
      </w:pPr>
      <w:r w:rsidRPr="000F3293">
        <w:tab/>
        <w:t>Η επιλογή μοντέλου διοίκησης δεν είναι ουδέτερη. Πιο συγκεκριμένα, αντανακλά πολιτικές και ιδεολογικές προσεγγίσεις. Ο πολιτιστικός εθνικισμός τείνει να ευνοεί το κρατικό μοντέλο, καθώς θεωρεί ότι το κράτος πρέπει να προστατεύει την κληρονομιά ως στοιχείο της εθνικής ταυτότητας. Αντίθετα, ο πολιτιστικός διεθνισμός υποστηρίζει την ανάγκη διεθνούς συνεργασίας και συχνά ευνοεί το μεικτό μοντέλο (</w:t>
      </w:r>
      <w:proofErr w:type="spellStart"/>
      <w:r w:rsidRPr="000F3293">
        <w:t>Merryman</w:t>
      </w:r>
      <w:proofErr w:type="spellEnd"/>
      <w:r w:rsidRPr="000F3293">
        <w:t>, 1985). Συνολικά, τα τρία μοντέλα διοίκησης προσφέρουν διαφορετικές λύσεις στα προβλήματα της πολιτιστικής πολιτικής. Το κρατικό μοντέλο εξασφαλίζει σταθερότητα, το ιδιωτικό ευελιξία και το μεικτό ισορροπία. Η επιλογή εξαρτάται από το κοινωνικό και πολιτικό πλαίσιο κάθε χώρας, αλλά η διεθνής εμπειρία δείχνει ότι το μεικτό μοντέλο είναι το πιο αποτελεσματικό, καθώς συνδυάζει τα πλεονεκτήματα των δύο άλλων και μειώνει τα μειονεκτήματά τους.</w:t>
      </w:r>
    </w:p>
    <w:p w14:paraId="7EB5803C" w14:textId="576319C2" w:rsidR="00B802E2" w:rsidRPr="000F3293" w:rsidRDefault="002465EE" w:rsidP="001358B2">
      <w:pPr>
        <w:pStyle w:val="1"/>
      </w:pPr>
      <w:bookmarkStart w:id="10" w:name="_Toc233154562"/>
      <w:r w:rsidRPr="000F3293">
        <w:t>1</w:t>
      </w:r>
      <w:r w:rsidR="00B802E2" w:rsidRPr="000F3293">
        <w:t>.1.4 Στρατηγικές διαχείρισης πολιτιστικών αγαθών</w:t>
      </w:r>
      <w:bookmarkEnd w:id="10"/>
    </w:p>
    <w:p w14:paraId="140574F0" w14:textId="77777777" w:rsidR="00B802E2" w:rsidRPr="000F3293" w:rsidRDefault="00B802E2" w:rsidP="00DF3F50">
      <w:pPr>
        <w:pStyle w:val="Web"/>
        <w:spacing w:line="360" w:lineRule="auto"/>
        <w:jc w:val="both"/>
      </w:pPr>
      <w:r w:rsidRPr="000F3293">
        <w:t xml:space="preserve">Η διαχείριση των πολιτιστικών αγαθών αποτελεί κεντρικό ζήτημα στη διοίκηση των πολιτιστικών οργανισμών. Οι στρατηγικές που εφαρμόζονται καθορίζουν όχι μόνο την προστασία και συντήρηση των αγαθών, αλλά και τον τρόπο με τον οποίο αυτά προβάλλονται, αξιοποιούνται και εντάσσονται στη διεθνή πολιτιστική διπλωματία. Η πρώτη στρατηγική αφορά τη </w:t>
      </w:r>
      <w:r w:rsidRPr="000F3293">
        <w:rPr>
          <w:rStyle w:val="a4"/>
          <w:b w:val="0"/>
          <w:bCs w:val="0"/>
        </w:rPr>
        <w:t>συντήρηση και προστασία</w:t>
      </w:r>
      <w:r w:rsidRPr="000F3293">
        <w:t xml:space="preserve">. Τα πολιτιστικά αγαθά, είτε πρόκειται για μνημεία είτε για έργα τέχνης, απαιτούν συνεχή φροντίδα ώστε να διατηρηθούν για τις επόμενες γενιές. Η UNESCO έχει τονίσει ότι η προστασία πρέπει να είναι προληπτική και να βασίζεται σε επιστημονικές μεθόδους (UNESCO, </w:t>
      </w:r>
      <w:r w:rsidRPr="000F3293">
        <w:lastRenderedPageBreak/>
        <w:t>1970). Στην Ελλάδα, ο Ν. 3028/2002 προβλέπει συγκεκριμένα μέτρα για την προστασία των αρχαιοτήτων, ενώ οι Εφορείες Αρχαιοτήτων εφαρμόζουν προγράμματα συντήρησης (</w:t>
      </w:r>
      <w:proofErr w:type="spellStart"/>
      <w:r w:rsidRPr="000F3293">
        <w:t>Korka</w:t>
      </w:r>
      <w:proofErr w:type="spellEnd"/>
      <w:r w:rsidRPr="000F3293">
        <w:t xml:space="preserve">, 2018). Η δεύτερη στρατηγική είναι η </w:t>
      </w:r>
      <w:r w:rsidRPr="000F3293">
        <w:rPr>
          <w:rStyle w:val="a4"/>
          <w:b w:val="0"/>
          <w:bCs w:val="0"/>
        </w:rPr>
        <w:t>προβολή και επικοινωνία</w:t>
      </w:r>
      <w:r w:rsidRPr="000F3293">
        <w:t xml:space="preserve">. Οι πολιτιστικοί οργανισμοί χρησιμοποιούν εκθέσεις, εκδόσεις, ψηφιακά μέσα και εκπαιδευτικά προγράμματα για να φέρουν τα πολιτιστικά αγαθά σε επαφή με το κοινό. Η </w:t>
      </w:r>
      <w:proofErr w:type="spellStart"/>
      <w:r w:rsidRPr="000F3293">
        <w:t>Grincheva</w:t>
      </w:r>
      <w:proofErr w:type="spellEnd"/>
      <w:r w:rsidRPr="000F3293">
        <w:t xml:space="preserve"> (2024) επισημαίνει ότι η ψηφιακή επικοινωνία έχει μεταμορφώσει τον τρόπο με τον οποίο τα μουσεία προβάλλουν τις συλλογές τους, επιτρέποντας την πρόσβαση σε παγκόσμιο κοινό.</w:t>
      </w:r>
    </w:p>
    <w:p w14:paraId="3063C779" w14:textId="77777777" w:rsidR="00B802E2" w:rsidRPr="000F3293" w:rsidRDefault="000756FE" w:rsidP="00DF3F50">
      <w:pPr>
        <w:pStyle w:val="Web"/>
        <w:spacing w:line="360" w:lineRule="auto"/>
        <w:jc w:val="both"/>
      </w:pPr>
      <w:r w:rsidRPr="000F3293">
        <w:tab/>
        <w:t xml:space="preserve">Η τρίτη στρατηγική αφορά τις </w:t>
      </w:r>
      <w:r w:rsidRPr="000F3293">
        <w:rPr>
          <w:rStyle w:val="a4"/>
          <w:b w:val="0"/>
          <w:bCs w:val="0"/>
        </w:rPr>
        <w:t>διεθνείς συνεργασίες</w:t>
      </w:r>
      <w:r w:rsidRPr="000F3293">
        <w:t xml:space="preserve">. Οι δανεισμοί έργων, οι κοινές εκθέσεις και η συμμετοχή σε διεθνή δίκτυα αποτελούν μορφές πολιτιστικής διπλωματίας. Η υπόθεση της επιστροφής του αγάλματος </w:t>
      </w:r>
      <w:proofErr w:type="spellStart"/>
      <w:r w:rsidRPr="000F3293">
        <w:t>Χανούμαν</w:t>
      </w:r>
      <w:proofErr w:type="spellEnd"/>
      <w:r w:rsidRPr="000F3293">
        <w:t xml:space="preserve"> από το </w:t>
      </w:r>
      <w:proofErr w:type="spellStart"/>
      <w:r w:rsidRPr="000F3293">
        <w:t>Cleveland</w:t>
      </w:r>
      <w:proofErr w:type="spellEnd"/>
      <w:r w:rsidRPr="000F3293">
        <w:t xml:space="preserve"> </w:t>
      </w:r>
      <w:proofErr w:type="spellStart"/>
      <w:r w:rsidRPr="000F3293">
        <w:t>Museum</w:t>
      </w:r>
      <w:proofErr w:type="spellEnd"/>
      <w:r w:rsidRPr="000F3293">
        <w:t xml:space="preserve"> στην Καμπότζη δείχνει πώς οι διεθνείς συνεργασίες μπορούν να ενισχύσουν την προστασία και την προβολή της κληρονομιάς (</w:t>
      </w:r>
      <w:proofErr w:type="spellStart"/>
      <w:r w:rsidRPr="000F3293">
        <w:t>Murphy</w:t>
      </w:r>
      <w:proofErr w:type="spellEnd"/>
      <w:r w:rsidRPr="000F3293">
        <w:t xml:space="preserve">, 2024). Τέλος, η </w:t>
      </w:r>
      <w:proofErr w:type="spellStart"/>
      <w:r w:rsidRPr="000F3293">
        <w:rPr>
          <w:rStyle w:val="a4"/>
          <w:b w:val="0"/>
          <w:bCs w:val="0"/>
        </w:rPr>
        <w:t>ψηφιοποίηση</w:t>
      </w:r>
      <w:proofErr w:type="spellEnd"/>
      <w:r w:rsidRPr="000F3293">
        <w:t xml:space="preserve"> αποτελεί στρατηγική αιχμής. Η δημιουργία ψηφιακών αρχείων και εικονικών εκθέσεων αυξάνει την προσβασιμότητα και μειώνει τους κινδύνους απώλειας. Η περίπτωση των ψηφιοποιημένων </w:t>
      </w:r>
      <w:proofErr w:type="spellStart"/>
      <w:r w:rsidRPr="000F3293">
        <w:t>χειρογράφων</w:t>
      </w:r>
      <w:proofErr w:type="spellEnd"/>
      <w:r w:rsidRPr="000F3293">
        <w:t xml:space="preserve"> της Ιάβας από τη Βρετανική Βιβλιοθήκη δείχνει πώς η </w:t>
      </w:r>
      <w:proofErr w:type="spellStart"/>
      <w:r w:rsidRPr="000F3293">
        <w:t>ψηφιοποίηση</w:t>
      </w:r>
      <w:proofErr w:type="spellEnd"/>
      <w:r w:rsidRPr="000F3293">
        <w:t xml:space="preserve"> μπορεί να λειτουργήσει ως μορφή «ψηφιακής επιστροφής» (</w:t>
      </w:r>
      <w:proofErr w:type="spellStart"/>
      <w:r w:rsidRPr="000F3293">
        <w:t>Murphy</w:t>
      </w:r>
      <w:proofErr w:type="spellEnd"/>
      <w:r w:rsidRPr="000F3293">
        <w:t>, 2024).</w:t>
      </w:r>
    </w:p>
    <w:p w14:paraId="7EE82DD7" w14:textId="228AB07A" w:rsidR="000911AC" w:rsidRPr="000F3293" w:rsidRDefault="002465EE" w:rsidP="001358B2">
      <w:pPr>
        <w:pStyle w:val="1"/>
      </w:pPr>
      <w:bookmarkStart w:id="11" w:name="_Toc233154563"/>
      <w:r w:rsidRPr="000F3293">
        <w:t>1</w:t>
      </w:r>
      <w:r w:rsidR="000911AC" w:rsidRPr="000F3293">
        <w:t>.2 Πολιτιστική διπλωματία και διεθνές ρυθμιστικό περιβάλλον</w:t>
      </w:r>
      <w:bookmarkEnd w:id="11"/>
    </w:p>
    <w:p w14:paraId="2C339CD9" w14:textId="61D8FEE6" w:rsidR="00E4441A" w:rsidRPr="000F3293" w:rsidRDefault="002465EE" w:rsidP="001358B2">
      <w:pPr>
        <w:pStyle w:val="1"/>
      </w:pPr>
      <w:bookmarkStart w:id="12" w:name="_Toc233154564"/>
      <w:r w:rsidRPr="000F3293">
        <w:t>1</w:t>
      </w:r>
      <w:r w:rsidR="00E4441A" w:rsidRPr="000F3293">
        <w:t>.2.1 Έννοια και εργαλεία πολιτιστικής διπλωματίας</w:t>
      </w:r>
      <w:bookmarkEnd w:id="12"/>
    </w:p>
    <w:p w14:paraId="53150187" w14:textId="77777777" w:rsidR="00E4441A" w:rsidRPr="000F3293" w:rsidRDefault="00E4441A" w:rsidP="00DF3F50">
      <w:pPr>
        <w:pStyle w:val="Web"/>
        <w:spacing w:line="360" w:lineRule="auto"/>
        <w:jc w:val="both"/>
      </w:pPr>
      <w:r w:rsidRPr="000F3293">
        <w:t xml:space="preserve">Η πολιτιστική διπλωματία αποτελεί έναν από τους πλέον δυναμικούς και πολυσύνθετους τομείς της διεθνούς πολιτικής. Ορίζεται ως η χρήση του πολιτισμού, υλικού και άυλου, ως εργαλείου εξωτερικής πολιτικής, με στόχο την ενίσχυση της διεθνούς εικόνας ενός κράτους, την οικοδόμηση σχέσεων εμπιστοσύνης και την προώθηση της συνεργασίας μεταξύ λαών. Σύμφωνα με τον </w:t>
      </w:r>
      <w:proofErr w:type="spellStart"/>
      <w:r w:rsidRPr="000F3293">
        <w:t>Cull</w:t>
      </w:r>
      <w:proofErr w:type="spellEnd"/>
      <w:r w:rsidRPr="000F3293">
        <w:t xml:space="preserve"> (2008), η πολιτιστική διπλωματία εντάσσεται στο πλαίσιο της δημόσιας διπλωματίας, καθώς συνδέεται με την προβολή της εθνικής ταυτότητας και την καλλιέργεια θετικών εντυπώσεων στο εξωτερικό. Η </w:t>
      </w:r>
      <w:proofErr w:type="spellStart"/>
      <w:r w:rsidRPr="000F3293">
        <w:t>Grincheva</w:t>
      </w:r>
      <w:proofErr w:type="spellEnd"/>
      <w:r w:rsidRPr="000F3293">
        <w:t xml:space="preserve"> (2024) επισημαίνει ότι η πολιτιστική διπλωματία έχει εξελιχθεί σε ανεξάρτητο πεδίο μελέτης, με ιδιαίτερη έμφαση στη χρήση ψηφιακών μέσων και νέων τεχνολογιών. Τα εργαλεία της πολιτιστικής διπλωματίας είναι ποικίλα και αντανακλούν τις </w:t>
      </w:r>
      <w:r w:rsidRPr="000F3293">
        <w:lastRenderedPageBreak/>
        <w:t xml:space="preserve">διαφορετικές στρατηγικές που υιοθετούν τα κράτη. Οι </w:t>
      </w:r>
      <w:r w:rsidRPr="000F3293">
        <w:rPr>
          <w:rStyle w:val="a4"/>
          <w:b w:val="0"/>
          <w:bCs w:val="0"/>
        </w:rPr>
        <w:t>διεθνείς εκθέσεις</w:t>
      </w:r>
      <w:r w:rsidRPr="000F3293">
        <w:t xml:space="preserve"> και τα φεστιβάλ αποτελούν πλατφόρμες προβολής της εθνικής κουλτούρας, ενισχύοντας την εικόνα της χώρας στο εξωτερικό. Οι </w:t>
      </w:r>
      <w:r w:rsidRPr="000F3293">
        <w:rPr>
          <w:rStyle w:val="a4"/>
          <w:b w:val="0"/>
          <w:bCs w:val="0"/>
        </w:rPr>
        <w:t>πολιτιστικές ανταλλαγές</w:t>
      </w:r>
      <w:r w:rsidRPr="000F3293">
        <w:t xml:space="preserve"> φοιτητών, ερευνητών και καλλιτεχνών συμβάλλουν στην αμοιβαία κατανόηση και στη δημιουργία δικτύων συνεργασίας (</w:t>
      </w:r>
      <w:proofErr w:type="spellStart"/>
      <w:r w:rsidRPr="000F3293">
        <w:t>Anglin</w:t>
      </w:r>
      <w:proofErr w:type="spellEnd"/>
      <w:r w:rsidRPr="000F3293">
        <w:t xml:space="preserve">, 2008). Οι </w:t>
      </w:r>
      <w:r w:rsidRPr="000F3293">
        <w:rPr>
          <w:rStyle w:val="a4"/>
          <w:b w:val="0"/>
          <w:bCs w:val="0"/>
        </w:rPr>
        <w:t>δανεισμοί έργων τέχνης</w:t>
      </w:r>
      <w:r w:rsidRPr="000F3293">
        <w:t xml:space="preserve"> αποτελούν μορφή συνεργασίας που ενισχύει την εμπιστοσύνη μεταξύ κρατών, όπως δείχνει η περίπτωση της επιστροφής του αγάλματος </w:t>
      </w:r>
      <w:proofErr w:type="spellStart"/>
      <w:r w:rsidRPr="000F3293">
        <w:t>Χανούμαν</w:t>
      </w:r>
      <w:proofErr w:type="spellEnd"/>
      <w:r w:rsidRPr="000F3293">
        <w:t xml:space="preserve"> από το </w:t>
      </w:r>
      <w:proofErr w:type="spellStart"/>
      <w:r w:rsidRPr="000F3293">
        <w:t>Cleveland</w:t>
      </w:r>
      <w:proofErr w:type="spellEnd"/>
      <w:r w:rsidRPr="000F3293">
        <w:t xml:space="preserve"> </w:t>
      </w:r>
      <w:proofErr w:type="spellStart"/>
      <w:r w:rsidRPr="000F3293">
        <w:t>Museum</w:t>
      </w:r>
      <w:proofErr w:type="spellEnd"/>
      <w:r w:rsidRPr="000F3293">
        <w:t xml:space="preserve"> στην Καμπότζη (</w:t>
      </w:r>
      <w:proofErr w:type="spellStart"/>
      <w:r w:rsidRPr="000F3293">
        <w:t>Murphy</w:t>
      </w:r>
      <w:proofErr w:type="spellEnd"/>
      <w:r w:rsidRPr="000F3293">
        <w:t xml:space="preserve">, 2024). Παράλληλα, η </w:t>
      </w:r>
      <w:r w:rsidRPr="000F3293">
        <w:rPr>
          <w:rStyle w:val="a4"/>
          <w:b w:val="0"/>
          <w:bCs w:val="0"/>
        </w:rPr>
        <w:t>ψηφιακή διπλωματία</w:t>
      </w:r>
      <w:r w:rsidRPr="000F3293">
        <w:t xml:space="preserve"> μέσω διαδικτυακών εκθέσεων και ψηφιοποιημένων συλλογών έχει αποκτήσει ιδιαίτερη σημασία, καθώς επιτρέπει την πρόσβαση σε παγκόσμιο κοινό (</w:t>
      </w:r>
      <w:proofErr w:type="spellStart"/>
      <w:r w:rsidRPr="000F3293">
        <w:t>Değirmenci</w:t>
      </w:r>
      <w:proofErr w:type="spellEnd"/>
      <w:r w:rsidRPr="000F3293">
        <w:t xml:space="preserve"> &amp; </w:t>
      </w:r>
      <w:proofErr w:type="spellStart"/>
      <w:r w:rsidRPr="000F3293">
        <w:t>Terzioğlu</w:t>
      </w:r>
      <w:proofErr w:type="spellEnd"/>
      <w:r w:rsidRPr="000F3293">
        <w:t>, 2022).</w:t>
      </w:r>
    </w:p>
    <w:p w14:paraId="67E889EF" w14:textId="77777777" w:rsidR="00E4441A" w:rsidRPr="000F3293" w:rsidRDefault="00DF123C" w:rsidP="00DF3F50">
      <w:pPr>
        <w:pStyle w:val="Web"/>
        <w:spacing w:line="360" w:lineRule="auto"/>
        <w:jc w:val="both"/>
      </w:pPr>
      <w:r w:rsidRPr="000F3293">
        <w:tab/>
        <w:t>Η πολιτιστική διπλωματία λειτουργεί επίσης ως εργαλείο «ήπιας ισχύος» (</w:t>
      </w:r>
      <w:proofErr w:type="spellStart"/>
      <w:r w:rsidRPr="000F3293">
        <w:t>soft</w:t>
      </w:r>
      <w:proofErr w:type="spellEnd"/>
      <w:r w:rsidRPr="000F3293">
        <w:t xml:space="preserve"> </w:t>
      </w:r>
      <w:proofErr w:type="spellStart"/>
      <w:r w:rsidRPr="000F3293">
        <w:t>power</w:t>
      </w:r>
      <w:proofErr w:type="spellEnd"/>
      <w:r w:rsidRPr="000F3293">
        <w:t xml:space="preserve">). Ο </w:t>
      </w:r>
      <w:proofErr w:type="spellStart"/>
      <w:r w:rsidRPr="000F3293">
        <w:t>Nye</w:t>
      </w:r>
      <w:proofErr w:type="spellEnd"/>
      <w:r w:rsidRPr="000F3293">
        <w:t xml:space="preserve"> (2004) υποστηρίζει ότι η προβολή αξιών και πολιτιστικών επιτευγμάτων μπορεί να είναι εξίσου αποτελεσματική με τη στρατιωτική ισχύ, καθώς δημιουργεί θετική εικόνα και ενισχύει την επιρροή ενός κράτους. Η πολιτιστική διπλωματία, επομένως, δεν περιορίζεται σε πολιτιστικές δράσεις, αλλά συνδέεται με στρατηγικούς στόχους εξωτερικής πολιτικής. Ωστόσο, η πολιτιστική διπλωματία δεν είναι ουδέτερη. Ο </w:t>
      </w:r>
      <w:proofErr w:type="spellStart"/>
      <w:r w:rsidRPr="000F3293">
        <w:t>Cuno</w:t>
      </w:r>
      <w:proofErr w:type="spellEnd"/>
      <w:r w:rsidRPr="000F3293">
        <w:t xml:space="preserve"> (2008) υποστηρίζει ότι τα «εγκυκλοπαιδικά μουσεία» αποτελούν μέσα διεθνούς προβολής, αλλά συχνά εγείρουν ζητήματα πολιτιστικού εθνικισμού. Ο </w:t>
      </w:r>
      <w:proofErr w:type="spellStart"/>
      <w:r w:rsidRPr="000F3293">
        <w:t>Merryman</w:t>
      </w:r>
      <w:proofErr w:type="spellEnd"/>
      <w:r w:rsidRPr="000F3293">
        <w:t xml:space="preserve"> (1985) τονίζει ότι η πολιτιστική διπλωματία μπορεί να συγκρουστεί με την αντίληψη ότι τα πολιτιστικά αγαθά ανήκουν αποκλειστικά στη χώρα προέλευσης. Η ένταση αυτή φαίνεται χαρακτηριστικά στις περιπτώσεις επαναπατρισμού, όπου η πολιτιστική διπλωματία καλείται να γεφυρώσει το χάσμα μεταξύ εθνικών διεκδικήσεων και διεθνιστικών προσεγγίσεων. Σε γενικές γραμμές, η πολιτιστική διπλωματία είναι ένα πολυδιάστατο πεδίο που συνδυάζει πολιτιστικές δράσεις με πολιτικές επιδιώξεις. Τα εργαλεία της αποτελούν μέσα ενίσχυσης της διεθνούς παρουσίας ενός κράτους. Παρά τις εντάσεις που προκαλεί η σύγκρουση εθνικιστικών και διεθνιστικών αντιλήψεων, η πολιτιστική διπλωματία παραμένει κρίσιμος μηχανισμός για την προώθηση της συνεργασίας και την οικοδόμηση σχέσεων εμπιστοσύνης σε παγκόσμιο επίπεδο.</w:t>
      </w:r>
    </w:p>
    <w:p w14:paraId="5F007342" w14:textId="0E9E9CAC" w:rsidR="00E4441A" w:rsidRPr="000F3293" w:rsidRDefault="002465EE" w:rsidP="001358B2">
      <w:pPr>
        <w:pStyle w:val="1"/>
      </w:pPr>
      <w:bookmarkStart w:id="13" w:name="_Toc233154565"/>
      <w:r w:rsidRPr="000F3293">
        <w:t>1</w:t>
      </w:r>
      <w:r w:rsidR="00E4441A" w:rsidRPr="000F3293">
        <w:t>.2.2 Ρόλος διεθνών οργανισμών (UNESCO, ICOM, ICCROM)</w:t>
      </w:r>
      <w:bookmarkEnd w:id="13"/>
    </w:p>
    <w:p w14:paraId="2F529839" w14:textId="3CEDB206" w:rsidR="00E4441A" w:rsidRPr="000F3293" w:rsidRDefault="00E4441A" w:rsidP="00DF3F50">
      <w:pPr>
        <w:pStyle w:val="Web"/>
        <w:spacing w:line="360" w:lineRule="auto"/>
        <w:jc w:val="both"/>
      </w:pPr>
      <w:r w:rsidRPr="000F3293">
        <w:t xml:space="preserve">Οι διεθνείς οργανισμοί αποτελούν θεμελιώδεις πυλώνες στη διαμόρφωση του ρυθμιστικού περιβάλλοντος της πολιτιστικής διπλωματίας. Η δράση τους δεν περιορίζεται μόνο στη θέσπιση </w:t>
      </w:r>
      <w:r w:rsidRPr="000F3293">
        <w:lastRenderedPageBreak/>
        <w:t xml:space="preserve">κανόνων, αλλά επεκτείνεται στην ανάπτυξη μηχανισμών συνεργασίας, στην εκπαίδευση και στην ενίσχυση της διαφάνειας. Η </w:t>
      </w:r>
      <w:r w:rsidRPr="000F3293">
        <w:rPr>
          <w:rStyle w:val="a4"/>
          <w:b w:val="0"/>
          <w:bCs w:val="0"/>
        </w:rPr>
        <w:t>UNESCO</w:t>
      </w:r>
      <w:r w:rsidRPr="000F3293">
        <w:t xml:space="preserve"> είναι ο πλέον αναγνωρισμένος οργανισμός στον τομέα αυτό. Η Σύμβαση του 1970 για την απαγόρευση της παράνομης εισαγωγής, εξαγωγής και μεταβίβασης πολιτιστικών αγαθών αποτέλεσε το πρώτο δεσμευτικό διεθνές κείμενο που αναγνώρισε την ανάγκη συλλογικής δράσης (</w:t>
      </w:r>
      <w:proofErr w:type="spellStart"/>
      <w:r w:rsidRPr="000F3293">
        <w:t>Roehrenbeck</w:t>
      </w:r>
      <w:proofErr w:type="spellEnd"/>
      <w:r w:rsidRPr="000F3293">
        <w:t xml:space="preserve">, 2010). </w:t>
      </w:r>
      <w:r w:rsidR="008C67BD" w:rsidRPr="000F3293">
        <w:t xml:space="preserve">Εξίσου σημαντική είναι η Σύμβαση της UNIDROIT του 1995 για τα κλαπέντα ή παρανόμως εξαχθέντα πολιτιστικά αγαθά, η οποία συμπληρώνει τη Σύμβαση του 1970 στο πεδίο του ιδιωτικού δικαίου. Αξίζει να σημειωθεί ότι, ενώ η Ελλάδα έχει υπογράψει και κυρώσει και τις δύο συμβάσεις, το Ηνωμένο Βασίλειο δεν έχει ούτε υπογράψει ούτε κυρώσει τη Σύμβαση της UNIDROIT του 1995, στοιχείο που περιορίζει σημαντικά τα διαθέσιμα νομικά εργαλεία για τη διεκδίκηση επιστροφής αμφισβητούμενων αντικειμένων από βρετανικά ιδρύματα. </w:t>
      </w:r>
      <w:r w:rsidRPr="000F3293">
        <w:t xml:space="preserve">Παράλληλα, η Σύμβαση του 2005 για την Πολιτιστική Πολυμορφία ενίσχυσε την </w:t>
      </w:r>
      <w:proofErr w:type="spellStart"/>
      <w:r w:rsidRPr="000F3293">
        <w:t>πολυπολιτισμικότητα</w:t>
      </w:r>
      <w:proofErr w:type="spellEnd"/>
      <w:r w:rsidRPr="000F3293">
        <w:t xml:space="preserve"> και την ισότητα, θέτοντας ως στόχο την προστασία των διαφορετικών πολιτιστικών εκφράσεων (UNESCO, 2005). Ο </w:t>
      </w:r>
      <w:r w:rsidRPr="000F3293">
        <w:rPr>
          <w:rStyle w:val="a4"/>
          <w:b w:val="0"/>
          <w:bCs w:val="0"/>
        </w:rPr>
        <w:t xml:space="preserve">ICOM (International Council of </w:t>
      </w:r>
      <w:proofErr w:type="spellStart"/>
      <w:r w:rsidRPr="000F3293">
        <w:rPr>
          <w:rStyle w:val="a4"/>
          <w:b w:val="0"/>
          <w:bCs w:val="0"/>
        </w:rPr>
        <w:t>Museums</w:t>
      </w:r>
      <w:proofErr w:type="spellEnd"/>
      <w:r w:rsidRPr="000F3293">
        <w:rPr>
          <w:rStyle w:val="a4"/>
          <w:b w:val="0"/>
          <w:bCs w:val="0"/>
        </w:rPr>
        <w:t>)</w:t>
      </w:r>
      <w:r w:rsidRPr="000F3293">
        <w:t xml:space="preserve"> έχει καθοριστικό ρόλο στη διαμόρφωση κανόνων δεοντολογίας. Ο Κώδικας Δεοντολογίας του (2017) καθορίζει τις αρχές λειτουργίας των μουσείων, επιβάλλοντας διαφάνεια στη διαχείριση συλλογών και ενθαρρύνοντας τη συνεργασία για την επιστροφή παράνομα </w:t>
      </w:r>
      <w:proofErr w:type="spellStart"/>
      <w:r w:rsidRPr="000F3293">
        <w:t>αποκτηθέντων</w:t>
      </w:r>
      <w:proofErr w:type="spellEnd"/>
      <w:r w:rsidRPr="000F3293">
        <w:t xml:space="preserve"> αντικειμένων. Ο ICOM λειτουργεί ως πλατφόρμα ανταλλαγής γνώσεων και εμπειριών, ενισχύοντας την επαγγελματική ακεραιότητα των μουσείων διεθνώς.</w:t>
      </w:r>
    </w:p>
    <w:p w14:paraId="0EA6961B" w14:textId="77777777" w:rsidR="00E4441A" w:rsidRPr="000F3293" w:rsidRDefault="00A13413" w:rsidP="0066663B">
      <w:pPr>
        <w:pStyle w:val="Web"/>
        <w:spacing w:before="240" w:line="360" w:lineRule="auto"/>
        <w:jc w:val="both"/>
      </w:pPr>
      <w:r w:rsidRPr="000F3293">
        <w:tab/>
        <w:t>Ο</w:t>
      </w:r>
      <w:r w:rsidRPr="000F3293">
        <w:rPr>
          <w:lang w:val="en-US"/>
        </w:rPr>
        <w:t xml:space="preserve"> </w:t>
      </w:r>
      <w:r w:rsidRPr="000F3293">
        <w:rPr>
          <w:rStyle w:val="a4"/>
          <w:b w:val="0"/>
          <w:bCs w:val="0"/>
          <w:lang w:val="en-US"/>
        </w:rPr>
        <w:t>ICCROM (International Centre for the Study of the Preservation and the Restoration of Cultural Property)</w:t>
      </w:r>
      <w:r w:rsidRPr="000F3293">
        <w:rPr>
          <w:lang w:val="en-US"/>
        </w:rPr>
        <w:t xml:space="preserve"> </w:t>
      </w:r>
      <w:r w:rsidRPr="000F3293">
        <w:t>επικεντρώνεται</w:t>
      </w:r>
      <w:r w:rsidRPr="000F3293">
        <w:rPr>
          <w:lang w:val="en-US"/>
        </w:rPr>
        <w:t xml:space="preserve"> </w:t>
      </w:r>
      <w:r w:rsidRPr="000F3293">
        <w:t>στην</w:t>
      </w:r>
      <w:r w:rsidRPr="000F3293">
        <w:rPr>
          <w:lang w:val="en-US"/>
        </w:rPr>
        <w:t xml:space="preserve"> </w:t>
      </w:r>
      <w:r w:rsidRPr="000F3293">
        <w:t>εκπαίδευση</w:t>
      </w:r>
      <w:r w:rsidRPr="000F3293">
        <w:rPr>
          <w:lang w:val="en-US"/>
        </w:rPr>
        <w:t xml:space="preserve"> </w:t>
      </w:r>
      <w:r w:rsidRPr="000F3293">
        <w:t>και</w:t>
      </w:r>
      <w:r w:rsidRPr="000F3293">
        <w:rPr>
          <w:lang w:val="en-US"/>
        </w:rPr>
        <w:t xml:space="preserve"> </w:t>
      </w:r>
      <w:r w:rsidRPr="000F3293">
        <w:t>στην</w:t>
      </w:r>
      <w:r w:rsidRPr="000F3293">
        <w:rPr>
          <w:lang w:val="en-US"/>
        </w:rPr>
        <w:t xml:space="preserve"> </w:t>
      </w:r>
      <w:r w:rsidRPr="000F3293">
        <w:t>τεχνική</w:t>
      </w:r>
      <w:r w:rsidRPr="000F3293">
        <w:rPr>
          <w:lang w:val="en-US"/>
        </w:rPr>
        <w:t xml:space="preserve"> </w:t>
      </w:r>
      <w:r w:rsidRPr="000F3293">
        <w:t>υποστήριξη</w:t>
      </w:r>
      <w:r w:rsidRPr="000F3293">
        <w:rPr>
          <w:lang w:val="en-US"/>
        </w:rPr>
        <w:t xml:space="preserve">. </w:t>
      </w:r>
      <w:r w:rsidRPr="000F3293">
        <w:t>Παρέχει προγράμματα κατάρτισης για συντηρητές και διαχειριστές πολιτιστικής κληρονομιάς, ενώ αναπτύσσει μεθοδολογίες για την πρόληψη καταστροφών και την αποκατάσταση μνημείων (</w:t>
      </w:r>
      <w:proofErr w:type="spellStart"/>
      <w:r w:rsidRPr="000F3293">
        <w:t>Francioni</w:t>
      </w:r>
      <w:proofErr w:type="spellEnd"/>
      <w:r w:rsidRPr="000F3293">
        <w:t xml:space="preserve"> &amp; </w:t>
      </w:r>
      <w:proofErr w:type="spellStart"/>
      <w:r w:rsidRPr="000F3293">
        <w:t>Vrdoljak</w:t>
      </w:r>
      <w:proofErr w:type="spellEnd"/>
      <w:r w:rsidRPr="000F3293">
        <w:t>, 2020). Η συμβολή του ICCROM είναι ιδιαίτερα σημαντική σε χώρες που δεν διαθέτουν επαρκείς πόρους ή τεχνογνωσία. Παρά τη σημασία τους, οι διεθνείς οργανισμοί αντιμετωπίζουν περιορισμούς. Η αποτελεσματικότητα των συμβάσεων εξαρτάται από την πολιτική βούληση των κρατών να τις εφαρμόσουν, ενώ η απουσία νομοθετικών μεταρρυθμίσεων σε ορισμένες χώρες, όπως η Βρετανία, περιορίζει την εφαρμογή των διεθνών κανόνων. Επιπλέον, οι οργανισμοί δεν διαθέτουν μηχανισμούς επιβολής κυρώσεων, γεγονός που καθιστά τις αποφάσεις τους περισσότερο ηθικές παρά δεσμευτικές (</w:t>
      </w:r>
      <w:r w:rsidRPr="000F3293">
        <w:rPr>
          <w:lang w:val="en-US"/>
        </w:rPr>
        <w:t>Halfin</w:t>
      </w:r>
      <w:r w:rsidRPr="000F3293">
        <w:t>, 1995</w:t>
      </w:r>
      <w:r w:rsidRPr="000F3293">
        <w:rPr>
          <w:lang w:val="tr-TR"/>
        </w:rPr>
        <w:t>, Errickson</w:t>
      </w:r>
      <w:r w:rsidRPr="000F3293">
        <w:t xml:space="preserve">, 2015). Παρά τα εμπόδια, η συμβολή των διεθνών οργανισμών είναι καθοριστική. Η UNESCO προσφέρει το </w:t>
      </w:r>
      <w:r w:rsidRPr="000F3293">
        <w:lastRenderedPageBreak/>
        <w:t>θεσμικό πλαίσιο, ο ICOM καθορίζει τις επαγγελματικές αρχές και ο ICCROM ενισχύει την τεχνική επάρκεια. Μαζί δημιουργούν ένα πλέγμα συνεργασίας που ενισχύει την πολιτιστική διπλωματία και προάγει την προστασία της κληρονομιάς σε παγκόσμιο επίπεδο. Η δράση τους δείχνει ότι η πολιτιστική διπλωματία δεν μπορεί να περιοριστεί σε εθνικό επίπεδο, αλλά απαιτεί διεθνή συνεργασία και κοινή δέσμευση.</w:t>
      </w:r>
    </w:p>
    <w:p w14:paraId="27D943A8" w14:textId="443375C0" w:rsidR="00E4441A" w:rsidRPr="000F3293" w:rsidRDefault="008C67BD" w:rsidP="001358B2">
      <w:pPr>
        <w:pStyle w:val="1"/>
      </w:pPr>
      <w:bookmarkStart w:id="14" w:name="_Toc233154566"/>
      <w:r w:rsidRPr="000F3293">
        <w:t>1</w:t>
      </w:r>
      <w:r w:rsidR="00E4441A" w:rsidRPr="000F3293">
        <w:t>.2.3 Κώδικες δεοντολογίας και κατευθυντήριες γραμμές</w:t>
      </w:r>
      <w:bookmarkEnd w:id="14"/>
    </w:p>
    <w:p w14:paraId="55054033" w14:textId="4BD9C3DD" w:rsidR="00E4441A" w:rsidRPr="000F3293" w:rsidRDefault="00E4441A" w:rsidP="00DF3F50">
      <w:pPr>
        <w:pStyle w:val="Web"/>
        <w:spacing w:line="360" w:lineRule="auto"/>
        <w:jc w:val="both"/>
      </w:pPr>
      <w:r w:rsidRPr="000F3293">
        <w:t xml:space="preserve">Οι κώδικες δεοντολογίας και οι κατευθυντήριες γραμμές αποτελούν θεμελιώδη εργαλεία για τη ρύθμιση της λειτουργίας των πολιτιστικών οργανισμών και την ενίσχυση της διεθνούς συνεργασίας. Σε αντίθεση με τις διεθνείς συμβάσεις, οι κώδικες δεοντολογίας δεν έχουν δεσμευτική νομική ισχύ, αλλά λειτουργούν ως πλαίσιο αναφοράς που καθοδηγεί την πρακτική των μουσείων και των πολιτιστικών φορέων. Ο πλέον αναγνωρισμένος είναι ο </w:t>
      </w:r>
      <w:r w:rsidRPr="000F3293">
        <w:rPr>
          <w:rStyle w:val="a4"/>
          <w:b w:val="0"/>
          <w:bCs w:val="0"/>
        </w:rPr>
        <w:t>Κώδικας Δεοντολογίας του ICOM</w:t>
      </w:r>
      <w:r w:rsidRPr="000F3293">
        <w:t xml:space="preserve">, ο οποίος καθορίζει ότι τα μουσεία πρέπει να λειτουργούν με διαφάνεια, να σέβονται την προέλευση των συλλογών τους και να συνεργάζονται για την επιστροφή παράνομα </w:t>
      </w:r>
      <w:proofErr w:type="spellStart"/>
      <w:r w:rsidRPr="000F3293">
        <w:t>αποκτηθέντων</w:t>
      </w:r>
      <w:proofErr w:type="spellEnd"/>
      <w:r w:rsidRPr="000F3293">
        <w:t xml:space="preserve"> αντικειμένων (ICOM, 2017). Ωστόσο, η εφαρμογή των κωδίκων δεοντολογίας εξαρτάται από την πολιτική βούληση και την πίεση της κοινής γνώμης. Η </w:t>
      </w:r>
      <w:proofErr w:type="spellStart"/>
      <w:r w:rsidRPr="000F3293">
        <w:t>Anglin</w:t>
      </w:r>
      <w:proofErr w:type="spellEnd"/>
      <w:r w:rsidRPr="000F3293">
        <w:t xml:space="preserve"> (2008) σημειώνει ότι οι κώδικες αυτοί συχνά παραμένουν θεωρητικοί όταν δεν συνοδεύονται από μηχανισμούς επιβολής. Παρά τα όρια τους, οι κώδικες δεοντολογίας έχουν συμβάλει στη διαμόρφωση μιας διεθνούς κουλτούρας συνεργασίας, όπου η ηθική διάσταση συμπληρώνει τη νομική. Συνολικά, οι κώδικες δεοντολογίας και οι κατευθυντήριες γραμμές αποτελούν απαραίτητο συμπλήρωμα των διεθνών συμβάσεων, καθώς ενισχύουν τη διαφάνεια, καθοδηγούν την πρακτική των μουσείων και δημιουργούν ένα κοινό πλαίσιο αξιών που διευκολύνει τη διεθνή συνεργασία</w:t>
      </w:r>
      <w:r w:rsidR="008C67BD" w:rsidRPr="000F3293">
        <w:t xml:space="preserve"> (</w:t>
      </w:r>
      <w:proofErr w:type="spellStart"/>
      <w:r w:rsidR="008C67BD" w:rsidRPr="000F3293">
        <w:t>Prott</w:t>
      </w:r>
      <w:proofErr w:type="spellEnd"/>
      <w:r w:rsidR="008C67BD" w:rsidRPr="000F3293">
        <w:t xml:space="preserve"> &amp; </w:t>
      </w:r>
      <w:proofErr w:type="spellStart"/>
      <w:r w:rsidR="008C67BD" w:rsidRPr="000F3293">
        <w:t>O’Keefe</w:t>
      </w:r>
      <w:proofErr w:type="spellEnd"/>
      <w:r w:rsidR="008C67BD" w:rsidRPr="000F3293">
        <w:t>, 1989)</w:t>
      </w:r>
      <w:r w:rsidRPr="000F3293">
        <w:t>.</w:t>
      </w:r>
    </w:p>
    <w:p w14:paraId="457CB8E6" w14:textId="64091A26" w:rsidR="00E4441A" w:rsidRPr="000F3293" w:rsidRDefault="00A31BEB" w:rsidP="001358B2">
      <w:pPr>
        <w:pStyle w:val="1"/>
      </w:pPr>
      <w:bookmarkStart w:id="15" w:name="_Toc233154567"/>
      <w:r w:rsidRPr="000F3293">
        <w:t>1</w:t>
      </w:r>
      <w:r w:rsidR="00E4441A" w:rsidRPr="000F3293">
        <w:t>.2.4 Σχέση διπλωματίας με πολιτιστική πολιτική και δημόσια επικοινωνία</w:t>
      </w:r>
      <w:bookmarkEnd w:id="15"/>
    </w:p>
    <w:p w14:paraId="5CCE1742" w14:textId="77777777" w:rsidR="003D2E3D" w:rsidRPr="000F3293" w:rsidRDefault="00E4441A" w:rsidP="00DF3F50">
      <w:pPr>
        <w:pStyle w:val="Web"/>
        <w:spacing w:line="360" w:lineRule="auto"/>
        <w:jc w:val="both"/>
      </w:pPr>
      <w:r w:rsidRPr="000F3293">
        <w:t xml:space="preserve">Η πολιτιστική διπλωματία δεν μπορεί να εξεταστεί αποκομμένα από την πολιτιστική πολιτική και τη δημόσια επικοινωνία, καθώς οι τρεις αυτές διαστάσεις αλληλοσυμπληρώνονται και συνθέτουν ένα ενιαίο πλαίσιο δράσης. Η πολιτιστική πολιτική παρέχει το θεσμικό υπόβαθρο και τις στρατηγικές κατευθύνσεις, ενώ η διπλωματία αξιοποιεί τον πολιτισμό ως εργαλείο διεθνούς </w:t>
      </w:r>
      <w:r w:rsidRPr="000F3293">
        <w:lastRenderedPageBreak/>
        <w:t xml:space="preserve">προβολής. Η δημόσια επικοινωνία, τέλος, λειτουργεί ως μηχανισμός διάχυσης και νομιμοποίησης των πολιτιστικών πρωτοβουλιών στο εσωτερικό και στο εξωτερικό. Η </w:t>
      </w:r>
      <w:proofErr w:type="spellStart"/>
      <w:r w:rsidRPr="000F3293">
        <w:t>Grincheva</w:t>
      </w:r>
      <w:proofErr w:type="spellEnd"/>
      <w:r w:rsidRPr="000F3293">
        <w:t xml:space="preserve"> (2024) υπογραμμίζει ότι η πολιτιστική διπλωματία έχει μετατραπεί σε πεδίο δημόσιας συζήτησης, καθώς οι πολίτες συμμετέχουν ενεργά μέσω των ψηφιακών μέσων. Η χρήση των κοινωνικών δικτύων επιτρέπει την άμεση διάχυση πολιτιστικών δράσεων και ενισχύει την απήχηση τους σε διεθνές επίπεδο. Ο </w:t>
      </w:r>
      <w:proofErr w:type="spellStart"/>
      <w:r w:rsidRPr="000F3293">
        <w:t>Murphy</w:t>
      </w:r>
      <w:proofErr w:type="spellEnd"/>
      <w:r w:rsidRPr="000F3293">
        <w:t xml:space="preserve"> (2024) δείχνει ότι οι εκθέσεις επαναπατρισμένων αντικειμένων χρησιμοποιούνται όχι μόνο ως διπλωματικά εργαλεία αλλά και ως εκπαιδευτικά μέσα για την ενημέρωση του κοινού, ενισχύοντας την κοινωνική νομιμοποίηση των πολιτικών αποφάσεων.</w:t>
      </w:r>
    </w:p>
    <w:p w14:paraId="695F38A8" w14:textId="77777777" w:rsidR="00E4441A" w:rsidRPr="000F3293" w:rsidRDefault="003D2E3D" w:rsidP="00DF3F50">
      <w:pPr>
        <w:pStyle w:val="Web"/>
        <w:spacing w:line="360" w:lineRule="auto"/>
        <w:jc w:val="both"/>
      </w:pPr>
      <w:r w:rsidRPr="000F3293">
        <w:tab/>
        <w:t xml:space="preserve">Η δημόσια επικοινωνία επηρεάζει άμεσα την πολιτιστική πολιτική. Όταν η κοινή γνώμη εκφράζει ισχυρή υποστήριξη για τον επαναπατρισμό πολιτιστικών αγαθών, τα κράτη είναι πιο πιθανό να υιοθετήσουν σχετικές πολιτικές. Ο </w:t>
      </w:r>
      <w:proofErr w:type="spellStart"/>
      <w:r w:rsidRPr="000F3293">
        <w:t>Stahn</w:t>
      </w:r>
      <w:proofErr w:type="spellEnd"/>
      <w:r w:rsidRPr="000F3293">
        <w:t xml:space="preserve"> (2022) τονίζει ότι η επιτυχία των πολιτιστικών διπλωματικών πρωτοβουλιών εξαρτάται από την ικανότητα των κρατών να συνδυάζουν πολιτική βούληση, διεθνή συνεργασία και κοινωνική στήριξη. Η </w:t>
      </w:r>
      <w:proofErr w:type="spellStart"/>
      <w:r w:rsidRPr="000F3293">
        <w:t>Banteka</w:t>
      </w:r>
      <w:proofErr w:type="spellEnd"/>
      <w:r w:rsidRPr="000F3293">
        <w:t xml:space="preserve"> (2016) αναφέρει ότι η υπόθεση των Μαρμάρων του Παρθενώνα αποτελεί χαρακτηριστικό παράδειγμα όπου η δημόσια επικοινωνία και η διεθνής πίεση επηρέασαν την πολιτική ατζέντα. Συνολικά, η σχέση διπλωματίας, πολιτιστικής πολιτικής και δημόσιας επικοινωνίας είναι αμφίδρομη και δυναμική. Η πολιτιστική πολιτική θέτει το πλαίσιο, η διπλωματία το διεθνές πεδίο δράσης και η δημόσια επικοινωνία την κοινωνική νομιμοποίηση. Η αλληλεπίδραση αυτή καθιστά τον πολιτισμό ισχυρό εργαλείο εξωτερικής πολιτικής και κοινωνικής συνοχής.</w:t>
      </w:r>
    </w:p>
    <w:p w14:paraId="050D84A3" w14:textId="1A74950B" w:rsidR="000911AC" w:rsidRPr="000F3293" w:rsidRDefault="008C67BD" w:rsidP="001358B2">
      <w:pPr>
        <w:pStyle w:val="1"/>
      </w:pPr>
      <w:bookmarkStart w:id="16" w:name="_Toc233154568"/>
      <w:r w:rsidRPr="000F3293">
        <w:t>1</w:t>
      </w:r>
      <w:r w:rsidR="000911AC" w:rsidRPr="000F3293">
        <w:t>.3 Δίκαιο πολιτιστικής κληρονομιάς και μη αναδρομικότητα διεθνών συμβάσεων</w:t>
      </w:r>
      <w:bookmarkEnd w:id="16"/>
    </w:p>
    <w:p w14:paraId="61755D99" w14:textId="04CBC2FD" w:rsidR="00C45956" w:rsidRPr="000F3293" w:rsidRDefault="008C67BD" w:rsidP="001358B2">
      <w:pPr>
        <w:pStyle w:val="1"/>
      </w:pPr>
      <w:bookmarkStart w:id="17" w:name="_Toc233154569"/>
      <w:r w:rsidRPr="000F3293">
        <w:t>1</w:t>
      </w:r>
      <w:r w:rsidR="00C45956" w:rsidRPr="000F3293">
        <w:t>.3.</w:t>
      </w:r>
      <w:r w:rsidRPr="000F3293">
        <w:t>1</w:t>
      </w:r>
      <w:r w:rsidR="00C45956" w:rsidRPr="000F3293">
        <w:t xml:space="preserve"> Νομικές αρχές επαναπατρισμού</w:t>
      </w:r>
      <w:bookmarkEnd w:id="17"/>
    </w:p>
    <w:p w14:paraId="6E94B030" w14:textId="77777777" w:rsidR="00C45956" w:rsidRPr="000F3293" w:rsidRDefault="00C45956" w:rsidP="00DF3F50">
      <w:pPr>
        <w:pStyle w:val="Web"/>
        <w:spacing w:line="360" w:lineRule="auto"/>
        <w:jc w:val="both"/>
      </w:pPr>
      <w:r w:rsidRPr="000F3293">
        <w:t xml:space="preserve">Ο επαναπατρισμός πολιτιστικών αγαθών στηρίζεται σε ένα πλέγμα νομικών αρχών που έχουν διαμορφωθεί τόσο από το διεθνές δίκαιο όσο και από τη θεωρία της πολιτιστικής κληρονομιάς. Οι αρχές αυτές καθορίζουν το πλαίσιο μέσα στο οποίο τα κράτη και οι πολιτιστικοί οργανισμοί διεκδικούν ή αποδέχονται την επιστροφή αντικειμένων που έχουν εξαχθεί παράνομα ή υπό αμφισβητούμενες συνθήκες. Η πρώτη θεμελιώδης αρχή είναι η </w:t>
      </w:r>
      <w:r w:rsidRPr="000F3293">
        <w:rPr>
          <w:rStyle w:val="a4"/>
          <w:b w:val="0"/>
          <w:bCs w:val="0"/>
        </w:rPr>
        <w:t>αρχή της κρατικής κυριαρχίας</w:t>
      </w:r>
      <w:r w:rsidRPr="000F3293">
        <w:t xml:space="preserve">. </w:t>
      </w:r>
      <w:r w:rsidRPr="000F3293">
        <w:lastRenderedPageBreak/>
        <w:t>Κάθε κράτος έχει το δικαίωμα να προστατεύει την πολιτιστική του κληρονομιά και να διεκδικεί την επιστροφή αγαθών που έχουν εξαχθεί χωρίς άδεια. Η αρχή αυτή κατοχυρώνεται σε διεθνείς συμβάσεις, όπως η UNESCO του 1970 και ενισχύεται από εθνικές νομοθεσίες που κηρύσσουν τα αρχαιολογικά ευρήματα ως κρατική ιδιοκτησία (</w:t>
      </w:r>
      <w:proofErr w:type="spellStart"/>
      <w:r w:rsidRPr="000F3293">
        <w:t>Forrest</w:t>
      </w:r>
      <w:proofErr w:type="spellEnd"/>
      <w:r w:rsidRPr="000F3293">
        <w:t>, 2010). Η κυριαρχία λειτουργεί ως νομική βάση για την αξίωση επιστροφής, αλλά συχνά συγκρούεται με την αρχή της προστασίας των καλόπιστων αγοραστών.</w:t>
      </w:r>
    </w:p>
    <w:p w14:paraId="59381A12" w14:textId="77777777" w:rsidR="00C45956" w:rsidRPr="000F3293" w:rsidRDefault="007E01A2" w:rsidP="00DF3F50">
      <w:pPr>
        <w:pStyle w:val="Web"/>
        <w:spacing w:line="360" w:lineRule="auto"/>
        <w:jc w:val="both"/>
      </w:pPr>
      <w:r w:rsidRPr="000F3293">
        <w:tab/>
        <w:t xml:space="preserve">Η δεύτερη είναι η αρχή </w:t>
      </w:r>
      <w:proofErr w:type="spellStart"/>
      <w:r w:rsidRPr="000F3293">
        <w:rPr>
          <w:rStyle w:val="a4"/>
          <w:b w:val="0"/>
          <w:bCs w:val="0"/>
        </w:rPr>
        <w:t>nemo</w:t>
      </w:r>
      <w:proofErr w:type="spellEnd"/>
      <w:r w:rsidRPr="000F3293">
        <w:rPr>
          <w:rStyle w:val="a4"/>
          <w:b w:val="0"/>
          <w:bCs w:val="0"/>
        </w:rPr>
        <w:t xml:space="preserve"> </w:t>
      </w:r>
      <w:proofErr w:type="spellStart"/>
      <w:r w:rsidRPr="000F3293">
        <w:rPr>
          <w:rStyle w:val="a4"/>
          <w:b w:val="0"/>
          <w:bCs w:val="0"/>
        </w:rPr>
        <w:t>dat</w:t>
      </w:r>
      <w:proofErr w:type="spellEnd"/>
      <w:r w:rsidRPr="000F3293">
        <w:rPr>
          <w:rStyle w:val="a4"/>
          <w:b w:val="0"/>
          <w:bCs w:val="0"/>
        </w:rPr>
        <w:t xml:space="preserve"> </w:t>
      </w:r>
      <w:proofErr w:type="spellStart"/>
      <w:r w:rsidRPr="000F3293">
        <w:rPr>
          <w:rStyle w:val="a4"/>
          <w:b w:val="0"/>
          <w:bCs w:val="0"/>
        </w:rPr>
        <w:t>quod</w:t>
      </w:r>
      <w:proofErr w:type="spellEnd"/>
      <w:r w:rsidRPr="000F3293">
        <w:rPr>
          <w:rStyle w:val="a4"/>
          <w:b w:val="0"/>
          <w:bCs w:val="0"/>
        </w:rPr>
        <w:t xml:space="preserve"> non </w:t>
      </w:r>
      <w:proofErr w:type="spellStart"/>
      <w:r w:rsidRPr="000F3293">
        <w:rPr>
          <w:rStyle w:val="a4"/>
          <w:b w:val="0"/>
          <w:bCs w:val="0"/>
        </w:rPr>
        <w:t>habet</w:t>
      </w:r>
      <w:proofErr w:type="spellEnd"/>
      <w:r w:rsidRPr="000F3293">
        <w:t xml:space="preserve"> («κανείς δεν μπορεί να δώσει αυτό που δεν έχει»). Εφαρμόζεται σε περιπτώσεις όπου πολιτιστικά αγαθά αποκτήθηκαν παράνομα και στη συνέχεια πωλήθηκαν σε τρίτους. Σύμφωνα με αυτήν, ο αρχικός παράνομος κάτοχος δεν μπορεί να μεταβιβάσει νόμιμο τίτλο, άρα η κυριότητα παραμένει στο κράτος προέλευσης (</w:t>
      </w:r>
      <w:proofErr w:type="spellStart"/>
      <w:r w:rsidRPr="000F3293">
        <w:t>O’Keefe</w:t>
      </w:r>
      <w:proofErr w:type="spellEnd"/>
      <w:r w:rsidRPr="000F3293">
        <w:t xml:space="preserve">, 2006). Η αρχή αυτή έχει χρησιμοποιηθεί σε πολλές υποθέσεις επαναπατρισμού, όπως στην επιστροφή αρχαιοτήτων στην Ιταλία από μεγάλα αμερικανικά μουσεία. Η τρίτη είναι η αρχή της </w:t>
      </w:r>
      <w:r w:rsidRPr="000F3293">
        <w:rPr>
          <w:rStyle w:val="a4"/>
          <w:b w:val="0"/>
          <w:bCs w:val="0"/>
        </w:rPr>
        <w:t>καλής πίστης</w:t>
      </w:r>
      <w:r w:rsidRPr="000F3293">
        <w:t xml:space="preserve">. Οι αγοραστές που απέκτησαν αντικείμενα χωρίς να γνωρίζουν ότι ήταν παράνομα εξαγόμενα μπορεί να δικαιούνται αποζημίωση, αλλά όχι να διατηρήσουν την κυριότητα. Η Σύμβαση UNIDROIT του 1995 προβλέπει ότι οι καλόπιστοι αγοραστές πρέπει να επιστρέψουν τα αντικείμενα, αλλά μπορούν να ζητήσουν εύλογη αποζημίωση από το κράτος ή τον αρχικό κάτοχο (UNIDROIT, 1995). Η αρχή αυτή επιχειρεί να ισορροπήσει ανάμεσα στην προστασία της κληρονομιάς και στην ασφάλεια των συναλλαγών.  Η τέταρτη είναι η αρχή της </w:t>
      </w:r>
      <w:r w:rsidRPr="000F3293">
        <w:rPr>
          <w:rStyle w:val="a4"/>
          <w:b w:val="0"/>
          <w:bCs w:val="0"/>
        </w:rPr>
        <w:t>διεθνούς συνεργασίας</w:t>
      </w:r>
      <w:r w:rsidRPr="000F3293">
        <w:t>. Ο επαναπατρισμός δεν μπορεί να επιτευχθεί χωρίς συνεργασία μεταξύ κρατών, μουσείων και συλλεκτών. Η UNESCO έχει τονίσει ότι η συνεργασία αυτή είναι απαραίτητη για την αποτελεσματική εφαρμογή των συμβάσεων (UNESCO, 1970). Η συνεργασία εκδηλώνεται μέσα από διμερείς συμφωνίες, κοινές εκθέσεις και δανεισμούς έργων, που συχνά λειτουργούν ως εναλλακτικές μορφές επαναπατρισμού.</w:t>
      </w:r>
    </w:p>
    <w:p w14:paraId="7A0918ED" w14:textId="09DB5C80" w:rsidR="00221736" w:rsidRPr="000F3293" w:rsidRDefault="006D0832" w:rsidP="00A1665F">
      <w:pPr>
        <w:pStyle w:val="Web"/>
        <w:spacing w:line="360" w:lineRule="auto"/>
        <w:jc w:val="both"/>
      </w:pPr>
      <w:r w:rsidRPr="000F3293">
        <w:tab/>
        <w:t xml:space="preserve">Πέρα από τις νομικές αρχές, σημαντικό ρόλο παίζουν και οι </w:t>
      </w:r>
      <w:r w:rsidRPr="000F3293">
        <w:rPr>
          <w:rStyle w:val="a4"/>
          <w:b w:val="0"/>
          <w:bCs w:val="0"/>
        </w:rPr>
        <w:t>ηθικές και πολιτικές διαστάσεις</w:t>
      </w:r>
      <w:r w:rsidRPr="000F3293">
        <w:t xml:space="preserve">. Η </w:t>
      </w:r>
      <w:proofErr w:type="spellStart"/>
      <w:r w:rsidRPr="000F3293">
        <w:t>Stamatoudi</w:t>
      </w:r>
      <w:proofErr w:type="spellEnd"/>
      <w:r w:rsidRPr="000F3293">
        <w:t xml:space="preserve"> (2011) υποστηρίζει ότι η ηθική πίεση της διεθνούς κοινής γνώμης μπορεί να οδηγήσει σε επιστροφές ακόμη και όταν δεν υπάρχει νομική υποχρέωση. Η υπόθεση των Μπρούντζων του Μπενίν αποτελεί χαρακτηριστικό παράδειγμα, όπου η διεθνής πίεση και η αλλαγή πολιτικής στάσης οδήγησαν σε επιστροφές από μεγάλα ευρωπαϊκά μουσεία. Οι νομικές αρχές επαναπατρισμού συνθέτουν ένα περίπλοκο πλαίσιο που συνδυάζει την κρατική κυριαρχία, </w:t>
      </w:r>
      <w:r w:rsidRPr="000F3293">
        <w:lastRenderedPageBreak/>
        <w:t>την προστασία της κληρονομιάς, την ασφάλεια των συναλλαγών και τη διεθνή συνεργασία. Αν και οι αρχές αυτές δεν επιλύουν πάντα τις συγκρούσεις, προσφέρουν το θεσμικό υπόβαθρο για τη διεκδίκηση και την επιστροφή πολιτιστικών αγαθών, ενισχύοντας την πολιτιστική διπλωματία και την παγκόσμια προστασία της κληρονομιάς.</w:t>
      </w:r>
      <w:r w:rsidR="00A1665F" w:rsidRPr="000F3293">
        <w:t xml:space="preserve"> </w:t>
      </w:r>
      <w:r w:rsidRPr="000F3293">
        <w:t>Στο σημείο αυτό έχει ιδιαίτερη σημασία η μη κύρωση της Σύμβασης της UNIDROIT του 1995 από το Ηνωμένο Βασίλειο. Σε αντίθεση με την Ελλάδα, που έχει κυρώσει τόσο τη Σύμβαση της UNESCO του 1970 όσο και τη Σύμβαση της UNIDROIT του 1995, η βρετανική πλευρά δεν δεσμεύεται από το ιδιωτικού δικαίου πλαίσιο της UNIDROIT, γεγονός που αποδυναμώνει τις δυνατότητες νομικής διεκδίκησης και μετατοπίζει το βάρος των αιτημάτων επιστροφής στο ηθικό και πολιτικό πεδίο.</w:t>
      </w:r>
    </w:p>
    <w:p w14:paraId="1F57036D" w14:textId="6068E5CC" w:rsidR="00C45956" w:rsidRPr="000F3293" w:rsidRDefault="00A1665F" w:rsidP="001358B2">
      <w:pPr>
        <w:pStyle w:val="1"/>
      </w:pPr>
      <w:bookmarkStart w:id="18" w:name="_Toc233154570"/>
      <w:r w:rsidRPr="000F3293">
        <w:t>1</w:t>
      </w:r>
      <w:r w:rsidR="00C45956" w:rsidRPr="000F3293">
        <w:t>.3.</w:t>
      </w:r>
      <w:r w:rsidRPr="000F3293">
        <w:t>2</w:t>
      </w:r>
      <w:r w:rsidR="00C45956" w:rsidRPr="000F3293">
        <w:t xml:space="preserve"> Ζήτημα μη αναδρομικότητας και επιπτώσεις σε Παρθενώνα και Μπενίν</w:t>
      </w:r>
      <w:bookmarkEnd w:id="18"/>
    </w:p>
    <w:p w14:paraId="682B331A" w14:textId="77777777" w:rsidR="00C45956" w:rsidRPr="000F3293" w:rsidRDefault="00C45956" w:rsidP="00DF3F50">
      <w:pPr>
        <w:pStyle w:val="Web"/>
        <w:spacing w:line="360" w:lineRule="auto"/>
        <w:jc w:val="both"/>
      </w:pPr>
      <w:r w:rsidRPr="000F3293">
        <w:t xml:space="preserve">Ένα από τα πιο αμφιλεγόμενα ζητήματα στο διεθνές δίκαιο πολιτιστικής κληρονομιάς είναι η </w:t>
      </w:r>
      <w:r w:rsidRPr="000F3293">
        <w:rPr>
          <w:rStyle w:val="a4"/>
          <w:b w:val="0"/>
          <w:bCs w:val="0"/>
        </w:rPr>
        <w:t>μη αναδρομικότητα</w:t>
      </w:r>
      <w:r w:rsidRPr="000F3293">
        <w:t xml:space="preserve"> των διεθνών συμβάσεων. Σύμφωνα με την αρχή </w:t>
      </w:r>
      <w:proofErr w:type="spellStart"/>
      <w:r w:rsidRPr="000F3293">
        <w:rPr>
          <w:rStyle w:val="a5"/>
        </w:rPr>
        <w:t>tempus</w:t>
      </w:r>
      <w:proofErr w:type="spellEnd"/>
      <w:r w:rsidRPr="000F3293">
        <w:rPr>
          <w:rStyle w:val="a5"/>
        </w:rPr>
        <w:t xml:space="preserve"> </w:t>
      </w:r>
      <w:proofErr w:type="spellStart"/>
      <w:r w:rsidRPr="000F3293">
        <w:rPr>
          <w:rStyle w:val="a5"/>
        </w:rPr>
        <w:t>regit</w:t>
      </w:r>
      <w:proofErr w:type="spellEnd"/>
      <w:r w:rsidRPr="000F3293">
        <w:rPr>
          <w:rStyle w:val="a5"/>
        </w:rPr>
        <w:t xml:space="preserve"> </w:t>
      </w:r>
      <w:proofErr w:type="spellStart"/>
      <w:r w:rsidRPr="000F3293">
        <w:rPr>
          <w:rStyle w:val="a5"/>
        </w:rPr>
        <w:t>actum</w:t>
      </w:r>
      <w:proofErr w:type="spellEnd"/>
      <w:r w:rsidRPr="000F3293">
        <w:t>, οι νόμοι εφαρμόζονται μόνο σε πράξεις που έγιναν μετά την έναρξη ισχύος τους. Αυτό σημαίνει ότι οι διεθνείς συμβάσεις, όπως η UNESCO του 1970 ή η UNIDROIT του 1995, δεν μπορούν να εφαρμοστούν σε περιπτώσεις αφαίρεσης πολιτιστικών αγαθών που συνέβησαν πριν από την υιοθέτησή τους (</w:t>
      </w:r>
      <w:r w:rsidRPr="000F3293">
        <w:rPr>
          <w:lang w:val="en-US"/>
        </w:rPr>
        <w:t>Henriksen</w:t>
      </w:r>
      <w:r w:rsidRPr="000F3293">
        <w:t>, 2023). Η μη αναδρομικότητα έχει σημαντικές επιπτώσεις σε εμβληματικές υποθέσεις, όπως τα Μάρμαρα του Παρθενώνα και τα Μπρούντζινα</w:t>
      </w:r>
      <w:r w:rsidRPr="000F3293">
        <w:rPr>
          <w:rStyle w:val="a4"/>
          <w:b w:val="0"/>
          <w:bCs w:val="0"/>
        </w:rPr>
        <w:t xml:space="preserve"> του Μπενίν</w:t>
      </w:r>
      <w:r w:rsidRPr="000F3293">
        <w:t xml:space="preserve">. Τα Μάρμαρα αφαιρέθηκαν από τον λόρδο </w:t>
      </w:r>
      <w:proofErr w:type="spellStart"/>
      <w:r w:rsidRPr="000F3293">
        <w:t>Έλγιν</w:t>
      </w:r>
      <w:proofErr w:type="spellEnd"/>
      <w:r w:rsidRPr="000F3293">
        <w:t xml:space="preserve"> στις αρχές του 19ου αιώνα, πολύ πριν από την υιοθέτηση της Σύμβασης του 1970. Η Βρετανία υποστηρίζει ότι η απόκτηση έγινε νόμιμα με άδεια της Οθωμανικής Αυτοκρατορίας, ενώ η Ελλάδα θεωρεί ότι η άδεια ήταν άκυρη και ότι η αφαίρεση συνιστά παράνομη πράξη (</w:t>
      </w:r>
      <w:proofErr w:type="spellStart"/>
      <w:r w:rsidRPr="000F3293">
        <w:t>Greenfield</w:t>
      </w:r>
      <w:proofErr w:type="spellEnd"/>
      <w:r w:rsidRPr="000F3293">
        <w:t>, 2007). Η μη αναδρομικότητα εμποδίζει την Ελλάδα να επικαλεστεί άμεσα τη Σύμβαση της UNESCO, περιορίζοντας τις διεκδικήσεις της σε ηθικό και πολιτικό επίπεδο. Αντίστοιχα, τα Μπρούντζινα του Μπενίν λεηλατήθηκαν από βρετανικά στρατεύματα το 1897. Επειδή η πράξη αυτή προηγήθηκε των διεθνών συμβάσεων, η Νιγηρία δεν μπορεί να επικαλεστεί νομικά την UNESCO ή την UNIDROIT για την επιστροφή τους (</w:t>
      </w:r>
      <w:proofErr w:type="spellStart"/>
      <w:r w:rsidRPr="000F3293">
        <w:t>Hicks</w:t>
      </w:r>
      <w:proofErr w:type="spellEnd"/>
      <w:r w:rsidRPr="000F3293">
        <w:t xml:space="preserve">, 2020). Παρά ταύτα, η διεθνής πίεση και η αλλαγή στάσης μεγάλων μουσείων, όπως το Βρετανικό Μουσείο και το </w:t>
      </w:r>
      <w:proofErr w:type="spellStart"/>
      <w:r w:rsidRPr="000F3293">
        <w:t>Humboldt</w:t>
      </w:r>
      <w:proofErr w:type="spellEnd"/>
      <w:r w:rsidRPr="000F3293">
        <w:t xml:space="preserve"> </w:t>
      </w:r>
      <w:proofErr w:type="spellStart"/>
      <w:r w:rsidRPr="000F3293">
        <w:t>Forum</w:t>
      </w:r>
      <w:proofErr w:type="spellEnd"/>
      <w:r w:rsidRPr="000F3293">
        <w:t>, έχουν οδηγήσει σε εθελοντικές επιστροφές, δείχνοντας ότι η ηθική διάσταση μπορεί να υπερβεί τα νομικά εμπόδια (</w:t>
      </w:r>
      <w:proofErr w:type="spellStart"/>
      <w:r w:rsidRPr="000F3293">
        <w:t>Savoy</w:t>
      </w:r>
      <w:proofErr w:type="spellEnd"/>
      <w:r w:rsidRPr="000F3293">
        <w:t>, 2022).</w:t>
      </w:r>
    </w:p>
    <w:p w14:paraId="1D351E47" w14:textId="69FB2B4F" w:rsidR="00221736" w:rsidRPr="000F3293" w:rsidRDefault="00582338" w:rsidP="00A1665F">
      <w:pPr>
        <w:pStyle w:val="Web"/>
        <w:spacing w:line="360" w:lineRule="auto"/>
        <w:jc w:val="both"/>
      </w:pPr>
      <w:r w:rsidRPr="000F3293">
        <w:lastRenderedPageBreak/>
        <w:tab/>
        <w:t>Η βιβλιογραφία έχει προτείνει εναλλακτικές προσεγγίσεις για την υπέρβαση της μη αναδρομικότητας. Μία από αυτές είναι η αρχή της «συνεχιζόμενης αδικίας», η οποία μπορεί να εφαρμοστεί, καθώς η διατήρηση των αντικειμένων εκτός χώρας προέλευσης συνιστά διαρκή παραβίαση (</w:t>
      </w:r>
      <w:proofErr w:type="spellStart"/>
      <w:r w:rsidRPr="000F3293">
        <w:rPr>
          <w:lang w:val="en-US"/>
        </w:rPr>
        <w:t>Soirila</w:t>
      </w:r>
      <w:proofErr w:type="spellEnd"/>
      <w:r w:rsidRPr="000F3293">
        <w:t xml:space="preserve">, 2022). Ο </w:t>
      </w:r>
      <w:proofErr w:type="spellStart"/>
      <w:r w:rsidRPr="000F3293">
        <w:t>Vrdoljak</w:t>
      </w:r>
      <w:proofErr w:type="spellEnd"/>
      <w:r w:rsidRPr="000F3293">
        <w:t xml:space="preserve"> (2006) τονίζει ότι η πολιτιστική κληρονομιά πρέπει να αντιμετωπίζεται ως δικαίωμα των λαών, γεγονός που επιτρέπει την ανάπτυξη νέων ερμηνειών πέρα από το αυστηρό γράμμα του νόμου. Συνολικά, η μη αναδρομικότητα αποτελεί σοβαρό εμπόδιο στις διεκδικήσεις επαναπατρισμού, αλλά η διεθνής πρακτική δείχνει ότι η ηθική πίεση, η πολιτιστική διπλωματία και η εθελοντική συνεργασία μπορούν να λειτουργήσουν ως εναλλακτικοί μηχανισμοί για την επιστροφή πολιτιστικών αγαθών.</w:t>
      </w:r>
      <w:r w:rsidR="00A1665F" w:rsidRPr="000F3293">
        <w:t xml:space="preserve"> </w:t>
      </w:r>
      <w:r w:rsidRPr="000F3293">
        <w:t>Στο πλαίσιο αυτό, η ιστορική διαμόρφωση του ελληνικού αιτήματος δεν μπορεί να γίνει πλήρως κατανοητή χωρίς αναφορά στη Μελίνα Μερκούρη. Ως Υπουργός Πολιτισμού κατά τη δεκαετία του 1980, η Μερκούρη, μαζί με την ομάδα συνεργατών που τη στήριξε, θεμελίωσε τη σύγχρονη νομική, πολιτική και πολιτιστική στρατηγική για την επιστροφή των Γλυπτών του Παρθενώνα. Με την παρέμβασή της στην παγκόσμια διάσκεψη της UNESCO για τις πολιτιστικές πολιτικές (MONDIACULT) στο Μεξικό το 1982 και με τη συνεχή διεθνή προβολή του ζητήματος, συνέβαλε ώστε η διεκδίκηση να μετατραπεί από στενά εθνικό σε οικουμενικό πολιτιστικό ζήτημα. Ταυτόχρονα, τόνισε την ηθική και συναισθηματική διάσταση που συνδέει την πολιτιστική κληρονομιά με την ταυτότητα, διαμόρφωσε το επιχείρημα της ακεραιότητας του μνημείου της Ακρόπολης και αμφισβήτησε δημόσια τον όρο «Ελγίνεια Μάρμαρα», προτάσσοντας τη φράση «Γλυπτά του Παρθενώνα». Η στρατηγική αυτή αποτελεί, σε μεγάλο βαθμό, το θεμέλιο πάνω στο οποίο στηρίζεται η σημερινή διεκδίκηση (</w:t>
      </w:r>
      <w:proofErr w:type="spellStart"/>
      <w:r w:rsidRPr="000F3293">
        <w:t>Gazi</w:t>
      </w:r>
      <w:proofErr w:type="spellEnd"/>
      <w:r w:rsidRPr="000F3293">
        <w:t xml:space="preserve">, 1990, </w:t>
      </w:r>
      <w:proofErr w:type="spellStart"/>
      <w:r w:rsidRPr="000F3293">
        <w:t>Hamilakis</w:t>
      </w:r>
      <w:proofErr w:type="spellEnd"/>
      <w:r w:rsidRPr="000F3293">
        <w:t>, 1999).</w:t>
      </w:r>
    </w:p>
    <w:p w14:paraId="2D68D306" w14:textId="1AA42B9E" w:rsidR="00CB30B3" w:rsidRPr="000F3293" w:rsidRDefault="00CB30B3" w:rsidP="00CB30B3">
      <w:pPr>
        <w:pStyle w:val="Web"/>
        <w:spacing w:line="360" w:lineRule="auto"/>
        <w:ind w:firstLine="720"/>
        <w:jc w:val="both"/>
      </w:pPr>
      <w:r w:rsidRPr="000F3293">
        <w:t xml:space="preserve">Η διεθνής ρύθμιση για την επιστροφή και αποκατάσταση πολιτιστικών αγαθών έχει ενισχυθεί σημαντικά από τον ύστερο 20ό αιώνα και μετά, ωστόσο ένα σταθερό όριο παραμένει η χρονική εμβέλεια των μηχανισμών αυτών. Όταν η απομάκρυνση ενός αντικειμένου προηγήθηκε των σύγχρονων διεθνών συμβάσεων και των σημερινών προτύπων προστασίας, η υπόθεση δύσκολα «κλείνει» με καθαρά νομικούς όρους. Το όριο αυτό εξηγεί γιατί η διεκδίκηση των Γλυπτών του Παρθενώνα, παρότι είναι η πιο εμβληματική και μακρόβια διένεξη στον χώρο της πολιτιστικής κληρονομιάς, εξελίχθηκε κυρίως σε πεδίο ηθικής νομιμοποίησης, πολιτικής διαπραγμάτευσης και θεσμικής διαμεσολάβησης, με επιχειρήματα που επανέρχονται γύρω από τη </w:t>
      </w:r>
      <w:r w:rsidRPr="000F3293">
        <w:lastRenderedPageBreak/>
        <w:t>νόμιμη κτήση, την αξία του οικουμενικού μουσείου και την αναγκαιότητα της επανένωσης (</w:t>
      </w:r>
      <w:r w:rsidRPr="000F3293">
        <w:rPr>
          <w:lang w:val="en-US"/>
        </w:rPr>
        <w:t>Gazi</w:t>
      </w:r>
      <w:r w:rsidRPr="000F3293">
        <w:t xml:space="preserve">, 1990, </w:t>
      </w:r>
      <w:proofErr w:type="spellStart"/>
      <w:r w:rsidRPr="000F3293">
        <w:rPr>
          <w:lang w:val="en-US"/>
        </w:rPr>
        <w:t>Stamatoudi</w:t>
      </w:r>
      <w:proofErr w:type="spellEnd"/>
      <w:r w:rsidRPr="000F3293">
        <w:t>, 2022).</w:t>
      </w:r>
    </w:p>
    <w:p w14:paraId="2974477A" w14:textId="77777777" w:rsidR="00CB30B3" w:rsidRPr="000F3293" w:rsidRDefault="00CB30B3" w:rsidP="00CB30B3">
      <w:pPr>
        <w:pStyle w:val="Web"/>
        <w:spacing w:line="360" w:lineRule="auto"/>
        <w:ind w:firstLine="720"/>
        <w:jc w:val="both"/>
      </w:pPr>
      <w:r w:rsidRPr="000F3293">
        <w:t xml:space="preserve">Η </w:t>
      </w:r>
      <w:proofErr w:type="spellStart"/>
      <w:r w:rsidRPr="000F3293">
        <w:t>Σταματούδη</w:t>
      </w:r>
      <w:proofErr w:type="spellEnd"/>
      <w:r w:rsidRPr="000F3293">
        <w:t xml:space="preserve"> σημειώνει ότι, επειδή η απομάκρυνση των Γλυπτών πραγματοποιήθηκε στις αρχές του 19ου αιώνα, η υπόθεση δεν εντάσσεται στο πεδίο περιπτώσεων που σχεδιάστηκαν να αντιμετωπίζουν οι μεταγενέστερες διεθνείς συμβάσεις, με αποτέλεσμα η επίλυση να μεταφέρεται σε πλαίσια καλών υπηρεσιών και διμερούς διαπραγμάτευσης. Ενδεικτικά, οι συζητήσεις εντάθηκαν υπό την αιγίδα της </w:t>
      </w:r>
      <w:r w:rsidRPr="000F3293">
        <w:rPr>
          <w:lang w:val="en-US"/>
        </w:rPr>
        <w:t>UNESCO</w:t>
      </w:r>
      <w:r w:rsidRPr="000F3293">
        <w:t xml:space="preserve"> μέσω της διακυβερνητικής επιτροπής που προορίζεται να διευκολύνει λύσεις σε υποθέσεις εκτός του πλαισίου της Σύμβασης του 1970, άρα σε περιπτώσεις που στηρίζονται κατεξοχήν στην καλή πίστη των κρατών (</w:t>
      </w:r>
      <w:proofErr w:type="spellStart"/>
      <w:r w:rsidRPr="000F3293">
        <w:rPr>
          <w:lang w:val="en-US"/>
        </w:rPr>
        <w:t>Stamatoudi</w:t>
      </w:r>
      <w:proofErr w:type="spellEnd"/>
      <w:r w:rsidRPr="000F3293">
        <w:t>, 2022).</w:t>
      </w:r>
    </w:p>
    <w:p w14:paraId="6CE6D2EF" w14:textId="77777777" w:rsidR="00CB30B3" w:rsidRPr="000F3293" w:rsidRDefault="00CB30B3" w:rsidP="00CB30B3">
      <w:pPr>
        <w:pStyle w:val="Web"/>
        <w:spacing w:line="360" w:lineRule="auto"/>
        <w:ind w:firstLine="720"/>
        <w:jc w:val="both"/>
      </w:pPr>
      <w:r w:rsidRPr="000F3293">
        <w:t>Η μη αναδρομικότητα, ως πρακτικό αποτέλεσμα, δεν σημαίνει μόνο έλλειψη δεσμευτικής νομικής υποχρέωσης επιστροφής, αλλά και μετατόπιση του βάρους από την «απόδειξη δικαιώματος» στην «πειθώ περί δικαιοσύνης». Η Γαζή ήδη από το 1990 υπογραμμίζει ότι το παράδειγμα του Παρθενώνα επιτρέπει να τεθούν όλα τα βασικά ζητήματα επιστροφής, ακριβώς επειδή τα Γλυπτά φέρουν θεμελιώδη συμβολισμό για την ελληνική πολιτιστική και εθνική ταυτότητα και ταυτόχρονα αποτελούν υπόθεση όπου η επίκληση διεθνών αρχών δεν μετατρέπεται εύκολα σε άμεσο ένδικο αποτέλεσμα (</w:t>
      </w:r>
      <w:r w:rsidRPr="000F3293">
        <w:rPr>
          <w:lang w:val="en-US"/>
        </w:rPr>
        <w:t>Gazi</w:t>
      </w:r>
      <w:r w:rsidRPr="000F3293">
        <w:t xml:space="preserve">, 1990). Η ίδια καταγράφει ότι η ελληνική πλευρά αξιοποίησε θεσμικά κανάλια, μεταξύ άλλων και μέσω </w:t>
      </w:r>
      <w:r w:rsidRPr="000F3293">
        <w:rPr>
          <w:lang w:val="en-US"/>
        </w:rPr>
        <w:t>UNESCO</w:t>
      </w:r>
      <w:r w:rsidRPr="000F3293">
        <w:t>, ενώ οι αρνητικές απαντήσεις ανέδειξαν ότι το ζήτημα παραμένει ανοιχτό ως διαπραγμάτευση νομιμοποίησης και πολιτιστικής πολιτικής (</w:t>
      </w:r>
      <w:r w:rsidRPr="000F3293">
        <w:rPr>
          <w:lang w:val="en-US"/>
        </w:rPr>
        <w:t>Gazi</w:t>
      </w:r>
      <w:r w:rsidRPr="000F3293">
        <w:t>, 1990).</w:t>
      </w:r>
    </w:p>
    <w:p w14:paraId="6E36FCD4" w14:textId="77777777" w:rsidR="00CB30B3" w:rsidRPr="000F3293" w:rsidRDefault="00CB30B3" w:rsidP="00CB30B3">
      <w:pPr>
        <w:pStyle w:val="Web"/>
        <w:spacing w:line="360" w:lineRule="auto"/>
        <w:ind w:firstLine="720"/>
        <w:jc w:val="both"/>
      </w:pPr>
      <w:r w:rsidRPr="000F3293">
        <w:t xml:space="preserve">Σε αυτό το πλαίσιο, τα επιχειρήματα τείνουν να παίρνουν τη μορφή σταθερών αφηγηματικών σχημάτων. Η βρετανική πλευρά, όπως τα συνοψίζει η </w:t>
      </w:r>
      <w:proofErr w:type="spellStart"/>
      <w:r w:rsidRPr="000F3293">
        <w:t>Σταματούδη</w:t>
      </w:r>
      <w:proofErr w:type="spellEnd"/>
      <w:r w:rsidRPr="000F3293">
        <w:t xml:space="preserve">, προβάλλει ότι τα Γλυπτά αποκτήθηκαν από την τότε αρμόδια αρχή και σύμφωνα με το δίκαιο της εποχής, άρα αποτελούν περιουσία του Βρετανικού Μουσείου. Παράλληλα, επικαλείται θεσμικούς περιορισμούς, καθώς η ιδιοκτησία αποδίδεται στους </w:t>
      </w:r>
      <w:r w:rsidRPr="000F3293">
        <w:rPr>
          <w:lang w:val="en-US"/>
        </w:rPr>
        <w:t>trustees</w:t>
      </w:r>
      <w:r w:rsidRPr="000F3293">
        <w:t xml:space="preserve"> και η νομοθεσία που διέπει τη συλλογή περιορίζει δραστικά την απομάκρυνση αντικειμένων, κάτι που λειτουργεί ως επιχείρημα αδυναμίας επιστροφής ακόμη και αν υπήρχε σχετική πρόθεση (</w:t>
      </w:r>
      <w:proofErr w:type="spellStart"/>
      <w:r w:rsidRPr="000F3293">
        <w:rPr>
          <w:lang w:val="en-US"/>
        </w:rPr>
        <w:t>Stamatoudi</w:t>
      </w:r>
      <w:proofErr w:type="spellEnd"/>
      <w:r w:rsidRPr="000F3293">
        <w:t xml:space="preserve">, 2022). Στο ίδιο σύνολο εντάσσεται και η θεωρία του οικουμενικού μουσείου, με το σκεπτικό ότι η έκθεση σε ένα </w:t>
      </w:r>
      <w:r w:rsidRPr="000F3293">
        <w:lastRenderedPageBreak/>
        <w:t>μεγάλο διεθνές μουσείο υπηρετεί ένα ευρύτερο κοινό και ότι οι αφηγήσεις Αθήνας και Λονδίνου μπορούν να παρουσιαστούν ως συμπληρωματικές (</w:t>
      </w:r>
      <w:proofErr w:type="spellStart"/>
      <w:r w:rsidRPr="000F3293">
        <w:rPr>
          <w:lang w:val="en-US"/>
        </w:rPr>
        <w:t>Stamatoudi</w:t>
      </w:r>
      <w:proofErr w:type="spellEnd"/>
      <w:r w:rsidRPr="000F3293">
        <w:t>, 2022).</w:t>
      </w:r>
    </w:p>
    <w:p w14:paraId="4E8E4155" w14:textId="77777777" w:rsidR="00CB30B3" w:rsidRPr="000F3293" w:rsidRDefault="00CB30B3" w:rsidP="00CB30B3">
      <w:pPr>
        <w:pStyle w:val="Web"/>
        <w:spacing w:line="360" w:lineRule="auto"/>
        <w:ind w:firstLine="720"/>
        <w:jc w:val="both"/>
      </w:pPr>
      <w:r w:rsidRPr="000F3293">
        <w:t xml:space="preserve">Αντίθετα, η ελληνική επιχειρηματολογία αρθρώνεται ως επιχείρημα ακεραιότητας και </w:t>
      </w:r>
      <w:proofErr w:type="spellStart"/>
      <w:r w:rsidRPr="000F3293">
        <w:t>συμφραζομένου</w:t>
      </w:r>
      <w:proofErr w:type="spellEnd"/>
      <w:r w:rsidRPr="000F3293">
        <w:t xml:space="preserve">. Η βασική θέση είναι ότι τα Γλυπτά αποτελούν αναπόσπαστο μέρος ενός μοναδικού μνημείου και ότι η κατανόηση και η πρόσληψή τους προϋποθέτει την ενότητα του συνόλου στον τόπο δημιουργίας του. Η Γαζή τονίζει ότι ο στόχος της επανένωσης προϋποθέτει </w:t>
      </w:r>
      <w:proofErr w:type="spellStart"/>
      <w:r w:rsidRPr="000F3293">
        <w:t>μουσειολογική</w:t>
      </w:r>
      <w:proofErr w:type="spellEnd"/>
      <w:r w:rsidRPr="000F3293">
        <w:t xml:space="preserve"> αποκατάσταση της συνοχής μέσω ενιαίας, συνεκτικής έκθεσης των τμημάτων, ως λύση που αποδίδει την ενότητα χωρίς να αγνοεί την ανάγκη προστασίας (</w:t>
      </w:r>
      <w:r w:rsidRPr="000F3293">
        <w:rPr>
          <w:lang w:val="en-US"/>
        </w:rPr>
        <w:t>Gazi</w:t>
      </w:r>
      <w:r w:rsidRPr="000F3293">
        <w:t xml:space="preserve">, 1990). Η </w:t>
      </w:r>
      <w:proofErr w:type="spellStart"/>
      <w:r w:rsidRPr="000F3293">
        <w:rPr>
          <w:lang w:val="en-US"/>
        </w:rPr>
        <w:t>Stamatoudi</w:t>
      </w:r>
      <w:proofErr w:type="spellEnd"/>
      <w:r w:rsidRPr="000F3293">
        <w:t xml:space="preserve"> συμπληρώνει ότι, σε διεθνή φόρα, η ελληνική πλευρά έχει αναδείξει τόσο τον δεσμό των Γλυπτών με το μνημείο όσο και την ηθική βαρύτητα της απομάκρυνσης σε συνθήκες ξένης κυριαρχίας (</w:t>
      </w:r>
      <w:proofErr w:type="spellStart"/>
      <w:r w:rsidRPr="000F3293">
        <w:rPr>
          <w:lang w:val="en-US"/>
        </w:rPr>
        <w:t>Stamatoudi</w:t>
      </w:r>
      <w:proofErr w:type="spellEnd"/>
      <w:r w:rsidRPr="000F3293">
        <w:t>, 2022).</w:t>
      </w:r>
    </w:p>
    <w:p w14:paraId="426D3E82" w14:textId="77777777" w:rsidR="00CB30B3" w:rsidRPr="000F3293" w:rsidRDefault="00CB30B3" w:rsidP="00CB30B3">
      <w:pPr>
        <w:pStyle w:val="Web"/>
        <w:spacing w:line="360" w:lineRule="auto"/>
        <w:ind w:firstLine="720"/>
        <w:jc w:val="both"/>
      </w:pPr>
      <w:r w:rsidRPr="000F3293">
        <w:t xml:space="preserve">Η συμβολική και ηθική διάσταση, ωστόσο, δεν λειτουργεί ανεξάρτητα από υλικά κίνητρα. Η </w:t>
      </w:r>
      <w:proofErr w:type="spellStart"/>
      <w:r w:rsidRPr="000F3293">
        <w:rPr>
          <w:lang w:val="en-US"/>
        </w:rPr>
        <w:t>Kersel</w:t>
      </w:r>
      <w:proofErr w:type="spellEnd"/>
      <w:r w:rsidRPr="000F3293">
        <w:t xml:space="preserve"> δείχνει ότι το </w:t>
      </w:r>
      <w:r w:rsidRPr="000F3293">
        <w:rPr>
          <w:lang w:val="en-US"/>
        </w:rPr>
        <w:t>framing</w:t>
      </w:r>
      <w:r w:rsidRPr="000F3293">
        <w:t xml:space="preserve"> επηρεάζεται και από την οικονομική λογική του </w:t>
      </w:r>
      <w:r w:rsidRPr="000F3293">
        <w:rPr>
          <w:lang w:val="en-US"/>
        </w:rPr>
        <w:t>heritage</w:t>
      </w:r>
      <w:r w:rsidRPr="000F3293">
        <w:t xml:space="preserve"> </w:t>
      </w:r>
      <w:r w:rsidRPr="000F3293">
        <w:rPr>
          <w:lang w:val="en-US"/>
        </w:rPr>
        <w:t>tourism</w:t>
      </w:r>
      <w:r w:rsidRPr="000F3293">
        <w:t xml:space="preserve"> και από την «οικονομία κύρους» που παράγουν τα εμβληματικά αντικείμενα. Τα Γλυπτά λειτουργούν ως πόλοι έλξης και ως πολιτιστικό κεφάλαιο, άρα η κατοχή τους συνδέεται με </w:t>
      </w:r>
      <w:proofErr w:type="spellStart"/>
      <w:r w:rsidRPr="000F3293">
        <w:t>επισκεψιμότητα</w:t>
      </w:r>
      <w:proofErr w:type="spellEnd"/>
      <w:r w:rsidRPr="000F3293">
        <w:t>, διεθνή προβολή και έσοδα. Η βρετανική πλευρά ωφελείται από τη διατήρηση ενός ισχυρού συμβόλου στο Βρετανικό Μουσείο, ενώ η ελληνική πλευρά προσδοκά ότι η επανένωση θα ενισχύσει την πολιτιστική κεντρικότητα της Αθήνας και τη σχετική τουριστική δυναμική (</w:t>
      </w:r>
      <w:proofErr w:type="spellStart"/>
      <w:r w:rsidRPr="000F3293">
        <w:rPr>
          <w:lang w:val="en-US"/>
        </w:rPr>
        <w:t>Kersel</w:t>
      </w:r>
      <w:proofErr w:type="spellEnd"/>
      <w:r w:rsidRPr="000F3293">
        <w:t>, 2004). Η ανάγνωση αυτή δεν ακυρώνει τα ηθικά επιχειρήματα, αλλά βοηθά να εξηγηθεί γιατί η σύγκρουση παραμένει έντονα πολωμένη και γιατί το «μεσαίο έδαφος» σπάνια σταθεροποιείται. Συνεπώς, η χρονική ασυμβατότητα της υπόθεσης με δεσμευτικούς μηχανισμούς επιστροφής, σε συνδυασμό με τις εσωτερικές θεσμικές δεσμεύσεις των μουσείων και τα ανταγωνιστικά κίνητρα κύρους και οικονομίας, εξηγεί γιατί η υπόθεση Παρθενώνα παραμένει κυρίως διαπραγμάτευση αξιών και πολιτικών επιλογών, περισσότερο παρά μια υπόθεση που μπορεί να επιλυθεί μόνο με κανόνες δικαίου (</w:t>
      </w:r>
      <w:r w:rsidRPr="000F3293">
        <w:rPr>
          <w:lang w:val="en-US"/>
        </w:rPr>
        <w:t>Gazi</w:t>
      </w:r>
      <w:r w:rsidRPr="000F3293">
        <w:t xml:space="preserve">, 1990, </w:t>
      </w:r>
      <w:proofErr w:type="spellStart"/>
      <w:r w:rsidRPr="000F3293">
        <w:rPr>
          <w:lang w:val="en-US"/>
        </w:rPr>
        <w:t>Kersel</w:t>
      </w:r>
      <w:proofErr w:type="spellEnd"/>
      <w:r w:rsidRPr="000F3293">
        <w:t xml:space="preserve">, 2004, </w:t>
      </w:r>
      <w:proofErr w:type="spellStart"/>
      <w:r w:rsidRPr="000F3293">
        <w:rPr>
          <w:lang w:val="en-US"/>
        </w:rPr>
        <w:t>Stamatoudi</w:t>
      </w:r>
      <w:proofErr w:type="spellEnd"/>
      <w:r w:rsidRPr="000F3293">
        <w:t>, 2022).</w:t>
      </w:r>
    </w:p>
    <w:p w14:paraId="7403D8E4" w14:textId="3A6624F8" w:rsidR="00C45956" w:rsidRPr="000F3293" w:rsidRDefault="00E102BA" w:rsidP="001358B2">
      <w:pPr>
        <w:pStyle w:val="1"/>
      </w:pPr>
      <w:bookmarkStart w:id="19" w:name="_Toc233154571"/>
      <w:r w:rsidRPr="000F3293">
        <w:lastRenderedPageBreak/>
        <w:t>1</w:t>
      </w:r>
      <w:r w:rsidR="00C45956" w:rsidRPr="000F3293">
        <w:t>.3.</w:t>
      </w:r>
      <w:r w:rsidRPr="000F3293">
        <w:t>3</w:t>
      </w:r>
      <w:r w:rsidR="00C45956" w:rsidRPr="000F3293">
        <w:t xml:space="preserve"> Συγκριτική ανάλυση εθνικών νομοθεσιών</w:t>
      </w:r>
      <w:bookmarkEnd w:id="19"/>
    </w:p>
    <w:p w14:paraId="52A49099" w14:textId="77777777" w:rsidR="00C45956" w:rsidRPr="000F3293" w:rsidRDefault="00C45956" w:rsidP="00DF3F50">
      <w:pPr>
        <w:pStyle w:val="Web"/>
        <w:spacing w:line="360" w:lineRule="auto"/>
        <w:jc w:val="both"/>
      </w:pPr>
      <w:r w:rsidRPr="000F3293">
        <w:t xml:space="preserve">Η εθνική νομοθεσία αποτελεί κρίσιμο παράγοντα για την αποτελεσματική εφαρμογή των διεθνών συμβάσεων προστασίας πολιτιστικής κληρονομιάς. Παρά το κοινό διεθνές πλαίσιο, κάθε χώρα υιοθετεί διαφορετικές ρυθμίσεις, γεγονός που δημιουργεί ποικιλία προσεγγίσεων και συχνά ασυμβατότητες. Στην </w:t>
      </w:r>
      <w:r w:rsidRPr="000F3293">
        <w:rPr>
          <w:rStyle w:val="a4"/>
          <w:b w:val="0"/>
          <w:bCs w:val="0"/>
        </w:rPr>
        <w:t>Ελλάδα</w:t>
      </w:r>
      <w:r w:rsidRPr="000F3293">
        <w:t>, ο Ν. 3028/2002 για την προστασία των αρχαιοτήτων και της πολιτιστικής κληρονομιάς προβλέπει ότι όλα τα αρχαιολογικά ευρήματα ανήκουν στο Δημόσιο και απαγορεύει την εξαγωγή τους χωρίς άδεια. Η αυστηρότητα του νόμου ενισχύει τις διεκδικήσεις επαναπατρισμού, καθώς παρέχει σαφές νομικό υπόβαθρο (</w:t>
      </w:r>
      <w:proofErr w:type="spellStart"/>
      <w:r w:rsidRPr="000F3293">
        <w:t>Καραλίδου</w:t>
      </w:r>
      <w:proofErr w:type="spellEnd"/>
      <w:r w:rsidRPr="000F3293">
        <w:t xml:space="preserve"> 2022). Στην </w:t>
      </w:r>
      <w:r w:rsidRPr="000F3293">
        <w:rPr>
          <w:rStyle w:val="a4"/>
          <w:b w:val="0"/>
          <w:bCs w:val="0"/>
        </w:rPr>
        <w:t>Ιταλία</w:t>
      </w:r>
      <w:r w:rsidRPr="000F3293">
        <w:t>, η νομοθεσία του 1939 κηρύσσει όλα τα αρχαιολογικά ευρήματα ως κρατική ιδιοκτησία, ενώ προβλέπει αυστηρές ποινές για παράνομη εξαγωγή. Η Ιταλία έχει αξιοποιήσει το πλαίσιο αυτό σε διεθνείς διεκδικήσεις, όπως στην επιστροφή αντικειμένων από το Μητροπολιτικό Μουσείο της Νέας Υόρκης (</w:t>
      </w:r>
      <w:r w:rsidRPr="000F3293">
        <w:rPr>
          <w:lang w:val="en-US"/>
        </w:rPr>
        <w:t>Celani</w:t>
      </w:r>
      <w:r w:rsidRPr="000F3293">
        <w:t xml:space="preserve"> </w:t>
      </w:r>
      <w:r w:rsidRPr="000F3293">
        <w:rPr>
          <w:lang w:val="en-US"/>
        </w:rPr>
        <w:t>et</w:t>
      </w:r>
      <w:r w:rsidRPr="000F3293">
        <w:t xml:space="preserve"> </w:t>
      </w:r>
      <w:r w:rsidRPr="000F3293">
        <w:rPr>
          <w:lang w:val="en-US"/>
        </w:rPr>
        <w:t>al</w:t>
      </w:r>
      <w:r w:rsidRPr="000F3293">
        <w:t>., 2022).</w:t>
      </w:r>
    </w:p>
    <w:p w14:paraId="0E4C1B78" w14:textId="77777777" w:rsidR="00CB30B3" w:rsidRPr="000F3293" w:rsidRDefault="00553039" w:rsidP="00DF3F50">
      <w:pPr>
        <w:pStyle w:val="Web"/>
        <w:spacing w:line="360" w:lineRule="auto"/>
        <w:jc w:val="both"/>
      </w:pPr>
      <w:r w:rsidRPr="000F3293">
        <w:tab/>
        <w:t xml:space="preserve">Αντίθετα, στη </w:t>
      </w:r>
      <w:r w:rsidRPr="000F3293">
        <w:rPr>
          <w:rStyle w:val="a4"/>
          <w:b w:val="0"/>
          <w:bCs w:val="0"/>
        </w:rPr>
        <w:t>Γαλλία</w:t>
      </w:r>
      <w:r w:rsidRPr="000F3293">
        <w:t xml:space="preserve"> η νομοθεσία είναι πιο ευέλικτη, επιτρέποντας δανεισμούς και συνεργασίες με ξένα μουσεία. Η προσέγγιση αυτή ενισχύει την πολιτιστική διπλωματία, αλλά περιορίζει τη δυνατότητα αυστηρών διεκδικήσεων (</w:t>
      </w:r>
      <w:proofErr w:type="spellStart"/>
      <w:r w:rsidRPr="000F3293">
        <w:t>Cornu</w:t>
      </w:r>
      <w:proofErr w:type="spellEnd"/>
      <w:r w:rsidRPr="000F3293">
        <w:t xml:space="preserve"> &amp; </w:t>
      </w:r>
      <w:r w:rsidRPr="000F3293">
        <w:rPr>
          <w:lang w:val="en-US"/>
        </w:rPr>
        <w:t>Renold</w:t>
      </w:r>
      <w:r w:rsidRPr="000F3293">
        <w:t xml:space="preserve">, 2010). Στις </w:t>
      </w:r>
      <w:r w:rsidRPr="000F3293">
        <w:rPr>
          <w:rStyle w:val="a4"/>
          <w:b w:val="0"/>
          <w:bCs w:val="0"/>
        </w:rPr>
        <w:t>Ηνωμένες Πολιτείες</w:t>
      </w:r>
      <w:r w:rsidRPr="000F3293">
        <w:t>, ο νόμος NAGPRA (1990) αφορά κυρίως την επιστροφή αντικειμένων σε ιθαγενείς κοινότητες, χωρίς να καλύπτει διεθνείς υποθέσεις. Αυτό δείχνει μια διαφορετική προτεραιότητα, εστιασμένη στην εσωτερική δικαιοσύνη (</w:t>
      </w:r>
      <w:proofErr w:type="spellStart"/>
      <w:r w:rsidRPr="000F3293">
        <w:t>Fine-Dare</w:t>
      </w:r>
      <w:proofErr w:type="spellEnd"/>
      <w:r w:rsidRPr="000F3293">
        <w:t>, 2002). Η συγκριτική ανάλυση δείχνει ότι οι εθνικές νομοθεσίες μπορούν να ενισχύσουν ή να περιορίσουν την αποτελεσματικότητα των διεθνών συμβάσεων. Η εναρμόνιση παραμένει ζητούμενο, καθώς οι διαφορές δημιουργούν εμπόδια στη διεθνή συνεργασία και καθιστούν τον επαναπατρισμό πολιτιστικών αγαθών περίπλοκη διαδικασία.</w:t>
      </w:r>
    </w:p>
    <w:p w14:paraId="18C694ED" w14:textId="68918F6E" w:rsidR="00CB30B3" w:rsidRPr="000F3293" w:rsidRDefault="00E102BA" w:rsidP="001358B2">
      <w:pPr>
        <w:pStyle w:val="1"/>
      </w:pPr>
      <w:bookmarkStart w:id="20" w:name="_Toc233154572"/>
      <w:r w:rsidRPr="000F3293">
        <w:t>1</w:t>
      </w:r>
      <w:r w:rsidR="00CB30B3" w:rsidRPr="000F3293">
        <w:t>.3.</w:t>
      </w:r>
      <w:r w:rsidRPr="000F3293">
        <w:t>4</w:t>
      </w:r>
      <w:r w:rsidR="00CB30B3" w:rsidRPr="000F3293">
        <w:t xml:space="preserve"> Θεωρητικές σχολές και επιχειρήματα για την ιδιοκτησία και τη θέση των πολιτιστικών αγαθών</w:t>
      </w:r>
      <w:bookmarkEnd w:id="20"/>
    </w:p>
    <w:p w14:paraId="154C02C5" w14:textId="77777777" w:rsidR="00CB30B3" w:rsidRPr="000F3293" w:rsidRDefault="00CB30B3" w:rsidP="00CB30B3">
      <w:pPr>
        <w:pStyle w:val="Web"/>
        <w:spacing w:line="360" w:lineRule="auto"/>
        <w:jc w:val="both"/>
      </w:pPr>
      <w:r w:rsidRPr="000F3293">
        <w:t xml:space="preserve">Η συζήτηση για την ιδιοκτησία και τη «σωστή» θέση των πολιτιστικών αγαθών δεν είναι απλώς νομική, αλλά κατεξοχήν κανονιστική. Θέτει ερωτήματα για το ποιος νομιμοποιείται να ορίζει το νόημα ενός αντικειμένου, ποιος δικαιούται να το διαχειρίζεται, και ποια δημόσια αγαθά </w:t>
      </w:r>
      <w:r w:rsidRPr="000F3293">
        <w:lastRenderedPageBreak/>
        <w:t>υπηρετούνται καλύτερα, όταν ένα έργο παραμένει σε ένα μεγάλο δυτικό μουσείο ή όταν επιστρέφει στον τόπο προέλευσης. Η υπόθεση των Γλυπτών του Παρθενώνα λειτουργεί ως συμπυκνωμένο παράδειγμα, επειδή συγκεντρώνει σχεδόν όλα τα βασικά διλήμματα, από τον συμβολισμό της εθνικής ταυτότητας έως την ιδέα του «οικουμενικού» μουσείου και την έννοια της επιμέλειας ως διεθνούς ευθύνης (</w:t>
      </w:r>
      <w:r w:rsidRPr="000F3293">
        <w:rPr>
          <w:lang w:val="en-US"/>
        </w:rPr>
        <w:t>Gazi</w:t>
      </w:r>
      <w:r w:rsidRPr="000F3293">
        <w:t xml:space="preserve">, 1990, </w:t>
      </w:r>
      <w:proofErr w:type="spellStart"/>
      <w:r w:rsidRPr="000F3293">
        <w:rPr>
          <w:lang w:val="en-US"/>
        </w:rPr>
        <w:t>Stamatoudi</w:t>
      </w:r>
      <w:proofErr w:type="spellEnd"/>
      <w:r w:rsidRPr="000F3293">
        <w:t>, 2022).</w:t>
      </w:r>
    </w:p>
    <w:p w14:paraId="2012FBA9" w14:textId="77777777" w:rsidR="00CB30B3" w:rsidRPr="000F3293" w:rsidRDefault="00CB30B3" w:rsidP="00CB30B3">
      <w:pPr>
        <w:pStyle w:val="Web"/>
        <w:spacing w:line="360" w:lineRule="auto"/>
        <w:ind w:firstLine="720"/>
        <w:jc w:val="both"/>
      </w:pPr>
      <w:r w:rsidRPr="000F3293">
        <w:t xml:space="preserve">Στον πυρήνα αυτής της αντιπαράθεσης διαμορφώνονται δύο μεγάλες θεωρητικές «σχολές» που συχνά περιγράφονται ως πολιτιστικός εθνικισμός και πολιτιστικός διεθνισμός. Ο πολιτιστικός εθνικισμός αντιμετωπίζει την πολιτιστική κληρονομιά ως οργανικό τμήμα της ιστορικής συνέχειας μιας κοινότητας και, ειδικότερα, ενός κράτους που θεωρείται θεματοφύλακας της πολιτιστικής του ταυτότητας. Η επιχειρηματολογία του εστιάζει στην εννοιολογική «ενότητα» μνημείου και γλυπτών, στη σημασία του </w:t>
      </w:r>
      <w:proofErr w:type="spellStart"/>
      <w:r w:rsidRPr="000F3293">
        <w:t>συμφραζομένου</w:t>
      </w:r>
      <w:proofErr w:type="spellEnd"/>
      <w:r w:rsidRPr="000F3293">
        <w:t>, και στη συμβολική ζημία που προκαλεί η αποσπασματική παρουσίαση ενός μνημείου σε διαφορετικούς τόπους. Στην περίπτωση του Παρθενώνα, η θέση αυτή υποστηρίζει ότι η επανένωση δεν είναι απλώς ζήτημα ιδιοκτησίας, αλλά ζήτημα αποκατάστασης της ακεραιότητας ενός μνημείου που αποτελεί εμβληματικό φορέα ιστορικής μνήμης και συλλογικής αυτοαντίληψης (</w:t>
      </w:r>
      <w:r w:rsidRPr="000F3293">
        <w:rPr>
          <w:lang w:val="en-US"/>
        </w:rPr>
        <w:t>Gazi</w:t>
      </w:r>
      <w:r w:rsidRPr="000F3293">
        <w:t xml:space="preserve">, 1990, </w:t>
      </w:r>
      <w:r w:rsidRPr="000F3293">
        <w:rPr>
          <w:lang w:val="en-US"/>
        </w:rPr>
        <w:t>Hitchens</w:t>
      </w:r>
      <w:r w:rsidRPr="000F3293">
        <w:t xml:space="preserve">, 2008). Η </w:t>
      </w:r>
      <w:proofErr w:type="spellStart"/>
      <w:r w:rsidRPr="000F3293">
        <w:rPr>
          <w:lang w:val="en-US"/>
        </w:rPr>
        <w:t>Stamatoudi</w:t>
      </w:r>
      <w:proofErr w:type="spellEnd"/>
      <w:r w:rsidRPr="000F3293">
        <w:t xml:space="preserve"> παρουσιάζει αναλυτικά πώς η ελληνική επιχειρηματολογία δομείται γύρω από την ακεραιότητα του μνημείου και τη λειτουργική, αισθητική και ιστορική ενότητα των Γλυπτών στον φυσικό τους χώρο, ενώ ο αντίλογος του Ηνωμένου Βασιλείου μετακινείται συχνά σε θεσμικά και νομοθετικά εμπόδια, καθώς και στη θεωρία του «οικουμενικού μουσείου» (</w:t>
      </w:r>
      <w:r w:rsidRPr="000F3293">
        <w:rPr>
          <w:lang w:val="en-US"/>
        </w:rPr>
        <w:t>universal</w:t>
      </w:r>
      <w:r w:rsidRPr="000F3293">
        <w:t xml:space="preserve"> </w:t>
      </w:r>
      <w:r w:rsidRPr="000F3293">
        <w:rPr>
          <w:lang w:val="en-US"/>
        </w:rPr>
        <w:t>museum</w:t>
      </w:r>
      <w:r w:rsidRPr="000F3293">
        <w:t>) (</w:t>
      </w:r>
      <w:proofErr w:type="spellStart"/>
      <w:r w:rsidRPr="000F3293">
        <w:rPr>
          <w:lang w:val="en-US"/>
        </w:rPr>
        <w:t>Stamatoudi</w:t>
      </w:r>
      <w:proofErr w:type="spellEnd"/>
      <w:r w:rsidRPr="000F3293">
        <w:t>, 2022).</w:t>
      </w:r>
    </w:p>
    <w:p w14:paraId="134D4FCC" w14:textId="77777777" w:rsidR="00CB30B3" w:rsidRPr="000F3293" w:rsidRDefault="00CB30B3" w:rsidP="00CB30B3">
      <w:pPr>
        <w:pStyle w:val="Web"/>
        <w:spacing w:line="360" w:lineRule="auto"/>
        <w:ind w:firstLine="720"/>
        <w:jc w:val="both"/>
      </w:pPr>
      <w:r w:rsidRPr="000F3293">
        <w:t xml:space="preserve">Απέναντι σε αυτή τη θέση, ο πολιτιστικός διεθνισμός προτείνει ένα πλαίσιο όπου η πολιτιστική κληρονομιά αντιμετωπίζεται ως μέρος μιας ευρύτερης ανθρώπινης παρακαταθήκης και ως πεδίο διεθνούς συνεργασίας. Στη διατύπωση του </w:t>
      </w:r>
      <w:r w:rsidRPr="000F3293">
        <w:rPr>
          <w:lang w:val="en-US"/>
        </w:rPr>
        <w:t>Merryman</w:t>
      </w:r>
      <w:r w:rsidRPr="000F3293">
        <w:t>, ο διεθνισμός της πολιτιστικής περιουσίας τείνει να δίνει προτεραιότητα σε αξίες όπως η διατήρηση, η γνώση και η πρόσβαση, επιδιώκοντας να αποφύγει τη μονοσήμαντη ταύτιση της κληρονομιάς με εθνικά σύνορα και να αναδείξει την οικουμενική διάσταση της πολιτιστικής δημιουργίας (</w:t>
      </w:r>
      <w:r w:rsidRPr="000F3293">
        <w:rPr>
          <w:lang w:val="en-US"/>
        </w:rPr>
        <w:t>Merryman</w:t>
      </w:r>
      <w:r w:rsidRPr="000F3293">
        <w:t xml:space="preserve">, 2005). Από αυτή τη σκοπιά, η αξία ενός αντικειμένου δεν εξαντλείται στον τόπο προέλευσης, αλλά συνδέεται και με τη δυνατότητά του να «μιλά» σε πολλαπλά ακροατήρια, να λειτουργεί παιδευτικά σε </w:t>
      </w:r>
      <w:r w:rsidRPr="000F3293">
        <w:lastRenderedPageBreak/>
        <w:t>πολυπολιτισμικά περιβάλλοντα, και να εντάσσεται σε συγκριτικές αφηγήσεις που δύσκολα θα αναδεικνύονταν σε ένα αμιγώς εθνικό πλαίσιο (</w:t>
      </w:r>
      <w:r w:rsidRPr="000F3293">
        <w:rPr>
          <w:lang w:val="en-US"/>
        </w:rPr>
        <w:t>Merryman</w:t>
      </w:r>
      <w:r w:rsidRPr="000F3293">
        <w:t xml:space="preserve">, 1985, </w:t>
      </w:r>
      <w:r w:rsidRPr="000F3293">
        <w:rPr>
          <w:lang w:val="en-US"/>
        </w:rPr>
        <w:t>Cuno</w:t>
      </w:r>
      <w:r w:rsidRPr="000F3293">
        <w:t>, 2011).</w:t>
      </w:r>
    </w:p>
    <w:p w14:paraId="17FB10F1" w14:textId="77777777" w:rsidR="00CB30B3" w:rsidRPr="000F3293" w:rsidRDefault="00CB30B3" w:rsidP="00CB30B3">
      <w:pPr>
        <w:pStyle w:val="Web"/>
        <w:spacing w:line="360" w:lineRule="auto"/>
        <w:ind w:firstLine="720"/>
        <w:jc w:val="both"/>
      </w:pPr>
      <w:r w:rsidRPr="000F3293">
        <w:t xml:space="preserve">Η ιδέα του «εγκυκλοπαιδικού» ή «οικουμενικού» μουσείου αποτελεί την πιο αναγνωρίσιμη θεσμική έκφραση της διεθνιστικής λογικής. Ο </w:t>
      </w:r>
      <w:r w:rsidRPr="000F3293">
        <w:rPr>
          <w:lang w:val="en-US"/>
        </w:rPr>
        <w:t>MacGregor</w:t>
      </w:r>
      <w:r w:rsidRPr="000F3293">
        <w:t xml:space="preserve">, μιλώντας από τη θέση του Βρετανικού Μουσείου, περιγράφει το μουσείο ως ένα πεδίο όπου η συνύπαρξη αντικειμένων από διαφορετικούς πολιτισμούς μπορεί να λειτουργήσει ως μηχανισμός γνώσης, </w:t>
      </w:r>
      <w:proofErr w:type="spellStart"/>
      <w:r w:rsidRPr="000F3293">
        <w:t>αναστοχασμού</w:t>
      </w:r>
      <w:proofErr w:type="spellEnd"/>
      <w:r w:rsidRPr="000F3293">
        <w:t xml:space="preserve"> και ενδεχομένως καλλιέργειας ανεκτικότητας, επειδή επιτρέπει στον επισκέπτη να συγκρίνει, να </w:t>
      </w:r>
      <w:proofErr w:type="spellStart"/>
      <w:r w:rsidRPr="000F3293">
        <w:t>αποδομεί</w:t>
      </w:r>
      <w:proofErr w:type="spellEnd"/>
      <w:r w:rsidRPr="000F3293">
        <w:t xml:space="preserve"> ιεραρχίες και να αναθεωρεί στερεότυπα μέσα από την υλικότητα των πραγμάτων (</w:t>
      </w:r>
      <w:r w:rsidRPr="000F3293">
        <w:rPr>
          <w:lang w:val="en-US"/>
        </w:rPr>
        <w:t>MacGregor</w:t>
      </w:r>
      <w:r w:rsidRPr="000F3293">
        <w:t xml:space="preserve">, 2009). Σε συγγενές μήκος κύματος, ο </w:t>
      </w:r>
      <w:r w:rsidRPr="000F3293">
        <w:rPr>
          <w:lang w:val="en-US"/>
        </w:rPr>
        <w:t>Cuno</w:t>
      </w:r>
      <w:r w:rsidRPr="000F3293">
        <w:t xml:space="preserve"> υπερασπίζεται την αξία των «εγκυκλοπαιδικών μουσείων» (</w:t>
      </w:r>
      <w:r w:rsidRPr="000F3293">
        <w:rPr>
          <w:lang w:val="en-US"/>
        </w:rPr>
        <w:t>encyclopedic</w:t>
      </w:r>
      <w:r w:rsidRPr="000F3293">
        <w:t xml:space="preserve"> </w:t>
      </w:r>
      <w:r w:rsidRPr="000F3293">
        <w:rPr>
          <w:lang w:val="en-US"/>
        </w:rPr>
        <w:t>museums</w:t>
      </w:r>
      <w:r w:rsidRPr="000F3293">
        <w:t>) ως δημόσιων θεσμών που, ιδανικά, υπηρετούν ευρύτερα ανθρώπινα δικαιώματα πρόσβασης στη γνώση και όχι αποκλειστικά εθνικές αφηγήσεις κυριαρχίας (</w:t>
      </w:r>
      <w:r w:rsidRPr="000F3293">
        <w:rPr>
          <w:lang w:val="en-US"/>
        </w:rPr>
        <w:t>Cuno</w:t>
      </w:r>
      <w:r w:rsidRPr="000F3293">
        <w:t xml:space="preserve">, 2011). Η μουσειακή προοπτική που εκπροσωπεί και ο </w:t>
      </w:r>
      <w:r w:rsidRPr="000F3293">
        <w:rPr>
          <w:lang w:val="en-US"/>
        </w:rPr>
        <w:t>Wilson</w:t>
      </w:r>
      <w:r w:rsidRPr="000F3293">
        <w:t>, με έμφαση στη θεσμική ευθύνη, τη συντήρηση και τη διαχρονική προστασία συλλογών, καταλήγει συχνά σε ένα επιχείρημα «επιμέλειας» που ταυτίζει τη νομιμοποίηση κατοχής με την ικανότητα προστασίας και παρουσίασης στο διεθνές κοινό (</w:t>
      </w:r>
      <w:r w:rsidRPr="000F3293">
        <w:rPr>
          <w:lang w:val="en-US"/>
        </w:rPr>
        <w:t>Wilson</w:t>
      </w:r>
      <w:r w:rsidRPr="000F3293">
        <w:t>, 1985).</w:t>
      </w:r>
    </w:p>
    <w:p w14:paraId="15C59A23" w14:textId="77777777" w:rsidR="00CB30B3" w:rsidRPr="000F3293" w:rsidRDefault="00CB30B3" w:rsidP="00CB30B3">
      <w:pPr>
        <w:pStyle w:val="Web"/>
        <w:spacing w:line="360" w:lineRule="auto"/>
        <w:ind w:firstLine="720"/>
        <w:jc w:val="both"/>
      </w:pPr>
      <w:r w:rsidRPr="000F3293">
        <w:t>Ωστόσο, η διεθνιστική και «οικουμενική» ρητορική δεν μένει αναπάντητη. Πρώτον, αμφισβητείται ότι η καθολική πρόσβαση εξασφαλίζεται πράγματι από τα μεγάλα δυτικά μουσεία, ιδίως όταν μεγάλο μέρος των συλλογών βρίσκεται εκτός έκθεσης. Δεύτερον, επισημαίνεται ότι η «οικουμενικότητα» μπορεί να λειτουργεί ως εξωραϊσμός ανισοτήτων προέλευσης, αφού η ίδια η συγκρότηση πολλών συλλογών συνδέεται ιστορικά με αποικιακές σχέσεις ισχύος, πολεμική λεηλασία ή δομές αγοράς που ευνοούσαν τους ισχυρούς (</w:t>
      </w:r>
      <w:proofErr w:type="spellStart"/>
      <w:r w:rsidRPr="000F3293">
        <w:rPr>
          <w:lang w:val="en-US"/>
        </w:rPr>
        <w:t>Kersel</w:t>
      </w:r>
      <w:proofErr w:type="spellEnd"/>
      <w:r w:rsidRPr="000F3293">
        <w:t xml:space="preserve">, 2004, </w:t>
      </w:r>
      <w:r w:rsidRPr="000F3293">
        <w:rPr>
          <w:lang w:val="en-US"/>
        </w:rPr>
        <w:t>Merriman</w:t>
      </w:r>
      <w:r w:rsidRPr="000F3293">
        <w:t xml:space="preserve">, 2024). Η κριτική αυτή δεν περιορίζεται σε ηθικό επίπεδο, αλλά αφορά και τη διαμόρφωση αφηγημάτων, δηλαδή ποιος αφηγείται την ιστορία του αντικειμένου, με ποια γλώσσα, και ποια σημεία </w:t>
      </w:r>
      <w:proofErr w:type="spellStart"/>
      <w:r w:rsidRPr="000F3293">
        <w:t>αποσιωπούνται</w:t>
      </w:r>
      <w:proofErr w:type="spellEnd"/>
      <w:r w:rsidRPr="000F3293">
        <w:t xml:space="preserve"> όταν το αντικείμενο αποσπάται από τα κοινωνικά του </w:t>
      </w:r>
      <w:proofErr w:type="spellStart"/>
      <w:r w:rsidRPr="000F3293">
        <w:t>συμφραζόμενα</w:t>
      </w:r>
      <w:proofErr w:type="spellEnd"/>
      <w:r w:rsidRPr="000F3293">
        <w:t xml:space="preserve"> (</w:t>
      </w:r>
      <w:proofErr w:type="spellStart"/>
      <w:r w:rsidRPr="000F3293">
        <w:rPr>
          <w:lang w:val="en-US"/>
        </w:rPr>
        <w:t>Kersel</w:t>
      </w:r>
      <w:proofErr w:type="spellEnd"/>
      <w:r w:rsidRPr="000F3293">
        <w:t>, 2004). Σε αυτή τη γραμμή, η υπόθεση του Παρθενώνα αποκτά βάρος όχι μόνο ως διαμάχη ιδιοκτησίας, αλλά ως διαμάχη για το δικαίωμα ερμηνείας και για την ηθική αποκατάσταση ενός μνημείου που συνδέεται με συγκεκριμένο τόπο, υλικότητα και ιστορική εμπειρία (</w:t>
      </w:r>
      <w:r w:rsidRPr="000F3293">
        <w:rPr>
          <w:lang w:val="en-US"/>
        </w:rPr>
        <w:t>Hitchens</w:t>
      </w:r>
      <w:r w:rsidRPr="000F3293">
        <w:t xml:space="preserve">, 2008, </w:t>
      </w:r>
      <w:proofErr w:type="spellStart"/>
      <w:r w:rsidRPr="000F3293">
        <w:rPr>
          <w:lang w:val="en-US"/>
        </w:rPr>
        <w:t>Stamatoudi</w:t>
      </w:r>
      <w:proofErr w:type="spellEnd"/>
      <w:r w:rsidRPr="000F3293">
        <w:t>, 2022).</w:t>
      </w:r>
    </w:p>
    <w:p w14:paraId="58B6E71D" w14:textId="77777777" w:rsidR="00CB30B3" w:rsidRPr="000F3293" w:rsidRDefault="00CB30B3" w:rsidP="00CB30B3">
      <w:pPr>
        <w:pStyle w:val="Web"/>
        <w:spacing w:line="360" w:lineRule="auto"/>
        <w:ind w:firstLine="720"/>
        <w:jc w:val="both"/>
      </w:pPr>
      <w:r w:rsidRPr="000F3293">
        <w:lastRenderedPageBreak/>
        <w:t xml:space="preserve">Μεταξύ των δύο πόλων, μια τρίτη θεματική δέσμη επιχειρημάτων εστιάζει στην έννοια της «επιμέλειας» και της λογοδοσίας, όχι ως ρητορική υπεράσπισης της κατοχής, αλλά ως κριτήριο αξιολόγησης. Η συζήτηση για διαχείριση και λογοδοσία, όπως αναδεικνύεται από τον </w:t>
      </w:r>
      <w:r w:rsidRPr="000F3293">
        <w:rPr>
          <w:lang w:val="en-US"/>
        </w:rPr>
        <w:t>St</w:t>
      </w:r>
      <w:r w:rsidRPr="000F3293">
        <w:t xml:space="preserve"> </w:t>
      </w:r>
      <w:r w:rsidRPr="000F3293">
        <w:rPr>
          <w:lang w:val="en-US"/>
        </w:rPr>
        <w:t>Clair</w:t>
      </w:r>
      <w:r w:rsidRPr="000F3293">
        <w:t>, μετατοπίζει το ερώτημα από το «ποιος έχει το αντικείμενο» στο «με ποιους όρους το έχει», αν η κτήση είναι διαφανής, αν η προέλευση τεκμηριώνεται, αν υφίσταται ηθική επιβάρυνση από τις συνθήκες απόκτησης, και αν ο φορέας κατοχής ανταποκρίνεται σε υποχρεώσεις απέναντι σε κοινότητες προέλευσης και απέναντι στο δημόσιο συμφέρον (</w:t>
      </w:r>
      <w:r w:rsidRPr="000F3293">
        <w:rPr>
          <w:lang w:val="en-US"/>
        </w:rPr>
        <w:t>St</w:t>
      </w:r>
      <w:r w:rsidRPr="000F3293">
        <w:t xml:space="preserve"> </w:t>
      </w:r>
      <w:r w:rsidRPr="000F3293">
        <w:rPr>
          <w:lang w:val="en-US"/>
        </w:rPr>
        <w:t>Clair</w:t>
      </w:r>
      <w:r w:rsidRPr="000F3293">
        <w:t xml:space="preserve">, 1999). Το σημείο αυτό είναι κρίσιμο, γιατί επιτρέπει να αποσαφηνιστεί ότι η συζήτηση δεν είναι μόνο </w:t>
      </w:r>
      <w:proofErr w:type="spellStart"/>
      <w:r w:rsidRPr="000F3293">
        <w:t>διλημματική</w:t>
      </w:r>
      <w:proofErr w:type="spellEnd"/>
      <w:r w:rsidRPr="000F3293">
        <w:t>, αλλά μπορεί να θεμελιωθεί σε κριτήρια δημόσιας ευθύνης, τεκμηρίωσης και σχέσεων εμπιστοσύνης.</w:t>
      </w:r>
    </w:p>
    <w:p w14:paraId="7BCD186D" w14:textId="77777777" w:rsidR="00CB30B3" w:rsidRPr="000F3293" w:rsidRDefault="00CB30B3" w:rsidP="00CB30B3">
      <w:pPr>
        <w:pStyle w:val="Web"/>
        <w:spacing w:line="360" w:lineRule="auto"/>
        <w:ind w:firstLine="720"/>
        <w:jc w:val="both"/>
      </w:pPr>
      <w:r w:rsidRPr="000F3293">
        <w:t xml:space="preserve">Ακριβώς σε αυτό το πεδίο αναπτύσσεται και η εσωτερική αντιπαράθεση των </w:t>
      </w:r>
      <w:r w:rsidRPr="000F3293">
        <w:rPr>
          <w:lang w:val="en-US"/>
        </w:rPr>
        <w:t>Colin</w:t>
      </w:r>
      <w:r w:rsidRPr="000F3293">
        <w:t xml:space="preserve"> </w:t>
      </w:r>
      <w:r w:rsidRPr="000F3293">
        <w:rPr>
          <w:lang w:val="en-US"/>
        </w:rPr>
        <w:t>Renfrew</w:t>
      </w:r>
      <w:r w:rsidRPr="000F3293">
        <w:t xml:space="preserve"> και </w:t>
      </w:r>
      <w:r w:rsidRPr="000F3293">
        <w:rPr>
          <w:lang w:val="en-US"/>
        </w:rPr>
        <w:t>John</w:t>
      </w:r>
      <w:r w:rsidRPr="000F3293">
        <w:t xml:space="preserve"> </w:t>
      </w:r>
      <w:r w:rsidRPr="000F3293">
        <w:rPr>
          <w:lang w:val="en-US"/>
        </w:rPr>
        <w:t>Boardman</w:t>
      </w:r>
      <w:r w:rsidRPr="000F3293">
        <w:t xml:space="preserve">, δύο εξαιρετικά σημαντικών μορφών της αρχαιολογίας με διαφορετικές όμως προσεγγίσεις στο ζήτημα του επαναπατρισμού, η οποία φωτίζει διαφορετικές αξιολογήσεις για την αγορά αρχαιοτήτων, την αρχαιοκαπηλία και τον ρόλο των μουσείων. Ο </w:t>
      </w:r>
      <w:r w:rsidRPr="000F3293">
        <w:rPr>
          <w:lang w:val="en-US"/>
        </w:rPr>
        <w:t>Renfrew</w:t>
      </w:r>
      <w:r w:rsidRPr="000F3293">
        <w:t>, μιλώντας για «ηθική κρίση» στην αρχαιολογία, αντιμετωπίζει τη ζήτηση της αγοράς και τη συλλεκτική λογική ως δομικούς παράγοντες που τροφοδοτούν τη λεηλασία και διαβρώνουν την επιστημονική γνώση, επειδή η αποκοπή αντικειμένων από το αρχαιολογικό τους πλαίσιο ισοδυναμεί με απώλεια δεδομένων και ιστορίας (</w:t>
      </w:r>
      <w:r w:rsidRPr="000F3293">
        <w:rPr>
          <w:lang w:val="en-US"/>
        </w:rPr>
        <w:t>Renfrew</w:t>
      </w:r>
      <w:r w:rsidRPr="000F3293">
        <w:t xml:space="preserve">, 2000). Ο </w:t>
      </w:r>
      <w:r w:rsidRPr="000F3293">
        <w:rPr>
          <w:lang w:val="en-US"/>
        </w:rPr>
        <w:t>Boardman</w:t>
      </w:r>
      <w:r w:rsidRPr="000F3293">
        <w:t>, αντίθετα, προβάλλει τον φόβο ότι υπερβολικά περιοριστικές, ή κατά τη γνώμη του μη ρεαλιστικές, νομοθετικές και ηθικές προσεγγίσεις μπορεί να απειλήσουν την πρόσβαση της επιστήμης και του κοινού, να υπονομεύσουν τη λειτουργία των δημόσιων μουσείων και να δημιουργήσουν παρενέργειες για «όλες τις αρχαιότητες», όχι μόνο για τις προφανώς λεηλατημένες (</w:t>
      </w:r>
      <w:r w:rsidRPr="000F3293">
        <w:rPr>
          <w:lang w:val="en-US"/>
        </w:rPr>
        <w:t>Boardman</w:t>
      </w:r>
      <w:r w:rsidRPr="000F3293">
        <w:t xml:space="preserve">, 2009). Η αντιπαράθεση αυτή είναι ιδιαίτερα χρήσιμη για τη θεωρητική χαρτογράφηση, επειδή δείχνει ότι ακόμη και εντός του επιστημονικού πεδίου υπάρχουν αποκλίνουσες ιεραρχήσεις αξιών, με τον έναν πόλο να δίνει προτεραιότητα στην προστασία του αρχαιολογικού </w:t>
      </w:r>
      <w:proofErr w:type="spellStart"/>
      <w:r w:rsidRPr="000F3293">
        <w:t>συμφραζομένου</w:t>
      </w:r>
      <w:proofErr w:type="spellEnd"/>
      <w:r w:rsidRPr="000F3293">
        <w:t xml:space="preserve"> και ο άλλος να ανησυχεί για περιορισμούς στην κυκλοφορία, στη μελέτη και στη δημόσια θέαση.</w:t>
      </w:r>
    </w:p>
    <w:p w14:paraId="062F0616" w14:textId="77777777" w:rsidR="00CB30B3" w:rsidRPr="000F3293" w:rsidRDefault="00CB30B3" w:rsidP="00CB30B3">
      <w:pPr>
        <w:pStyle w:val="Web"/>
        <w:spacing w:line="360" w:lineRule="auto"/>
        <w:ind w:firstLine="720"/>
        <w:jc w:val="both"/>
      </w:pPr>
      <w:r w:rsidRPr="000F3293">
        <w:t xml:space="preserve">Η σύγχρονη δυναμική των επιστροφών, ιδίως μέσα από περιπτώσεις όπως τα Μπενίν, ανανεώνει τα παραπάνω σχήματα και δείχνει ότι το ερώτημα δεν είναι μόνο θεωρητικό, αλλά και πρακτικό, δηλαδή αφορά διαδικασίες, θεσμικές αποφάσεις, διαβούλευση και αναδιαμόρφωση μουσειακών πολιτικών. Ο </w:t>
      </w:r>
      <w:r w:rsidRPr="000F3293">
        <w:rPr>
          <w:lang w:val="en-US"/>
        </w:rPr>
        <w:t>Merriman</w:t>
      </w:r>
      <w:r w:rsidRPr="000F3293">
        <w:t xml:space="preserve">, καταγράφοντας την περίπτωση του </w:t>
      </w:r>
      <w:r w:rsidRPr="000F3293">
        <w:rPr>
          <w:lang w:val="en-US"/>
        </w:rPr>
        <w:t>Horniman</w:t>
      </w:r>
      <w:r w:rsidRPr="000F3293">
        <w:t xml:space="preserve"> και τη </w:t>
      </w:r>
      <w:r w:rsidRPr="000F3293">
        <w:lastRenderedPageBreak/>
        <w:t xml:space="preserve">μετατόπιση που σημειώθηκε διεθνώς μετά το 2020, παρουσιάζει πώς η συζήτηση για </w:t>
      </w:r>
      <w:r w:rsidRPr="000F3293">
        <w:rPr>
          <w:lang w:val="en-US"/>
        </w:rPr>
        <w:t>restitution</w:t>
      </w:r>
      <w:r w:rsidRPr="000F3293">
        <w:t xml:space="preserve"> και </w:t>
      </w:r>
      <w:r w:rsidRPr="000F3293">
        <w:rPr>
          <w:lang w:val="en-US"/>
        </w:rPr>
        <w:t>return</w:t>
      </w:r>
      <w:r w:rsidRPr="000F3293">
        <w:t xml:space="preserve"> συνδέθηκε με την </w:t>
      </w:r>
      <w:proofErr w:type="spellStart"/>
      <w:r w:rsidRPr="000F3293">
        <w:t>αποαποικιοποίηση</w:t>
      </w:r>
      <w:proofErr w:type="spellEnd"/>
      <w:r w:rsidRPr="000F3293">
        <w:t xml:space="preserve"> των συλλογών, με την αναγνώριση ιστορικών αδικιών και με την ανάγκη νέων σχέσεων, όπου η κατοχή δεν αντιμετωπίζεται ως φυσική κατάσταση αλλά ως διαπραγματεύσιμο αποτέλεσμα ηθικής και πολιτικής κρίσης (</w:t>
      </w:r>
      <w:r w:rsidRPr="000F3293">
        <w:rPr>
          <w:lang w:val="en-US"/>
        </w:rPr>
        <w:t>Merriman</w:t>
      </w:r>
      <w:r w:rsidRPr="000F3293">
        <w:t>, 2024). Αυτό δεν αναιρεί τα επιχειρήματα της πρόσβασης και της παιδευτικής αξίας, αλλά τα υποχρεώνει να λογοδοτήσουν απέναντι στην ιστορία απόκτησης και απέναντι σε κοινότητες που διεκδικούν όχι μόνο αντικείμενα, αλλά και αξιοπρέπεια, αφήγηση και έλεγχο της πολιτιστικής τους κληρονομιάς (</w:t>
      </w:r>
      <w:proofErr w:type="spellStart"/>
      <w:r w:rsidRPr="000F3293">
        <w:rPr>
          <w:lang w:val="en-US"/>
        </w:rPr>
        <w:t>Kersel</w:t>
      </w:r>
      <w:proofErr w:type="spellEnd"/>
      <w:r w:rsidRPr="000F3293">
        <w:t xml:space="preserve">, 2004, </w:t>
      </w:r>
      <w:r w:rsidRPr="000F3293">
        <w:rPr>
          <w:lang w:val="en-US"/>
        </w:rPr>
        <w:t>Merriman</w:t>
      </w:r>
      <w:r w:rsidRPr="000F3293">
        <w:t>, 2024).</w:t>
      </w:r>
    </w:p>
    <w:p w14:paraId="55093077" w14:textId="3C76D859" w:rsidR="00CB30B3" w:rsidRPr="000F3293" w:rsidRDefault="00CB30B3" w:rsidP="00CB30B3">
      <w:pPr>
        <w:pStyle w:val="Web"/>
        <w:spacing w:line="360" w:lineRule="auto"/>
        <w:ind w:firstLine="720"/>
        <w:jc w:val="both"/>
      </w:pPr>
      <w:r w:rsidRPr="000F3293">
        <w:t>Συνολικά, οι θεωρητικές σχολές και τα επιχειρήματα μπορούν να ιδωθούν ως ανταγωνιστικές απαντήσεις σε τρία βασικά ζητήματα. Το πρώτο αφορά την ταυτότητα και την ακεραιότητα, δηλαδή τη σχέση αντικειμένου και τόπου, με ιδιαίτερη ένταση σε μνημεία όπως ο Παρθενώνας (</w:t>
      </w:r>
      <w:r w:rsidRPr="000F3293">
        <w:rPr>
          <w:lang w:val="en-US"/>
        </w:rPr>
        <w:t>Gazi</w:t>
      </w:r>
      <w:r w:rsidRPr="000F3293">
        <w:t xml:space="preserve">, 1990, </w:t>
      </w:r>
      <w:proofErr w:type="spellStart"/>
      <w:r w:rsidRPr="000F3293">
        <w:rPr>
          <w:lang w:val="en-US"/>
        </w:rPr>
        <w:t>Stamatoudi</w:t>
      </w:r>
      <w:proofErr w:type="spellEnd"/>
      <w:r w:rsidRPr="000F3293">
        <w:t>, 2022). Το δεύτερο αφορά την πρόσβαση και τη γνώση, δηλαδή το ποιος βλέπει, ποιος μαθαίνει και πώς οργανώνεται η παγκόσμια πολιτιστική παιδεία, που αποτελεί τον πυρήνα της υπεράσπισης των εγκυκλοπαιδικών μουσείων (</w:t>
      </w:r>
      <w:r w:rsidRPr="000F3293">
        <w:rPr>
          <w:lang w:val="en-US"/>
        </w:rPr>
        <w:t>Merryman</w:t>
      </w:r>
      <w:r w:rsidRPr="000F3293">
        <w:t xml:space="preserve">, 2005, </w:t>
      </w:r>
      <w:r w:rsidRPr="000F3293">
        <w:rPr>
          <w:lang w:val="en-US"/>
        </w:rPr>
        <w:t>MacGregor</w:t>
      </w:r>
      <w:r w:rsidRPr="000F3293">
        <w:t xml:space="preserve">, 2009, </w:t>
      </w:r>
      <w:r w:rsidRPr="000F3293">
        <w:rPr>
          <w:lang w:val="en-US"/>
        </w:rPr>
        <w:t>Cuno</w:t>
      </w:r>
      <w:r w:rsidRPr="000F3293">
        <w:t>, 2011). Το τρίτο αφορά την ηθική και τη λογοδοσία, δηλαδή κατά πόσο η ιστορία απόκτησης και οι συνέπειες της κατοχής μπορούν να δικαιολογηθούν, να διορθωθούν ή να μετασχηματιστούν μέσω επιστροφών, επανένωσης ή νέων μοντέλων συνεργασίας και επιμέλειας (</w:t>
      </w:r>
      <w:r w:rsidRPr="000F3293">
        <w:rPr>
          <w:lang w:val="en-US"/>
        </w:rPr>
        <w:t>St</w:t>
      </w:r>
      <w:r w:rsidRPr="000F3293">
        <w:t xml:space="preserve"> </w:t>
      </w:r>
      <w:r w:rsidRPr="000F3293">
        <w:rPr>
          <w:lang w:val="en-US"/>
        </w:rPr>
        <w:t>Clair</w:t>
      </w:r>
      <w:r w:rsidRPr="000F3293">
        <w:t xml:space="preserve">, 1999, </w:t>
      </w:r>
      <w:r w:rsidRPr="000F3293">
        <w:rPr>
          <w:lang w:val="en-US"/>
        </w:rPr>
        <w:t>Merriman</w:t>
      </w:r>
      <w:r w:rsidRPr="000F3293">
        <w:t xml:space="preserve">, 2024). </w:t>
      </w:r>
    </w:p>
    <w:p w14:paraId="63494E1A" w14:textId="77777777" w:rsidR="00523A89" w:rsidRPr="000F3293" w:rsidRDefault="00523A89" w:rsidP="00CB30B3">
      <w:pPr>
        <w:pStyle w:val="Web"/>
        <w:spacing w:line="360" w:lineRule="auto"/>
        <w:ind w:firstLine="720"/>
        <w:jc w:val="both"/>
      </w:pPr>
    </w:p>
    <w:p w14:paraId="32FE93EF" w14:textId="77777777" w:rsidR="00523A89" w:rsidRPr="000F3293" w:rsidRDefault="00523A89" w:rsidP="00CB30B3">
      <w:pPr>
        <w:pStyle w:val="Web"/>
        <w:spacing w:line="360" w:lineRule="auto"/>
        <w:ind w:firstLine="720"/>
        <w:jc w:val="both"/>
      </w:pPr>
    </w:p>
    <w:p w14:paraId="121F05D5" w14:textId="77777777" w:rsidR="00523A89" w:rsidRPr="000F3293" w:rsidRDefault="00523A89" w:rsidP="00A31BEB">
      <w:pPr>
        <w:pStyle w:val="Web"/>
        <w:spacing w:line="360" w:lineRule="auto"/>
        <w:jc w:val="both"/>
      </w:pPr>
    </w:p>
    <w:p w14:paraId="5C952117" w14:textId="471507E1" w:rsidR="00F565CA" w:rsidRPr="000F3293" w:rsidRDefault="00523A89" w:rsidP="001358B2">
      <w:pPr>
        <w:pStyle w:val="1"/>
      </w:pPr>
      <w:bookmarkStart w:id="21" w:name="_Toc233154573"/>
      <w:r w:rsidRPr="000F3293">
        <w:lastRenderedPageBreak/>
        <w:t>Κεφάλαιο 2.</w:t>
      </w:r>
      <w:r w:rsidR="00F565CA" w:rsidRPr="000F3293">
        <w:t xml:space="preserve"> Δημόσια επικοινωνία στον πολιτισμό και διαμόρφωση κοινής γνώμης</w:t>
      </w:r>
      <w:bookmarkEnd w:id="21"/>
    </w:p>
    <w:p w14:paraId="602363B8" w14:textId="37B55D97" w:rsidR="00A40FBD" w:rsidRPr="000F3293" w:rsidRDefault="00F565CA" w:rsidP="001358B2">
      <w:pPr>
        <w:pStyle w:val="1"/>
      </w:pPr>
      <w:bookmarkStart w:id="22" w:name="_Toc233154574"/>
      <w:r w:rsidRPr="000F3293">
        <w:t>2.</w:t>
      </w:r>
      <w:r w:rsidR="00523A89" w:rsidRPr="000F3293">
        <w:t>1</w:t>
      </w:r>
      <w:r w:rsidRPr="000F3293">
        <w:t xml:space="preserve"> Ρόλος ΜΜΕ και ψηφιακής επικοινωνίας</w:t>
      </w:r>
      <w:bookmarkEnd w:id="22"/>
    </w:p>
    <w:p w14:paraId="48B5670E" w14:textId="77777777" w:rsidR="00F565CA" w:rsidRPr="000F3293" w:rsidRDefault="00F565CA" w:rsidP="00DF3F50">
      <w:pPr>
        <w:pStyle w:val="Web"/>
        <w:spacing w:line="360" w:lineRule="auto"/>
        <w:jc w:val="both"/>
      </w:pPr>
      <w:r w:rsidRPr="000F3293">
        <w:t>Τα μέσα μαζικής ενημέρωσης (ΜΜΕ) και η ψηφιακή επικοινωνία αποτελούν σήμερα καθοριστικούς παράγοντες στη διαμόρφωση της κοινής γνώμης γύρω από ζητήματα πολιτιστικής κληρονομιάς και διπλωματίας. Η δύναμή τους έγκειται όχι μόνο στη διάδοση πληροφοριών αλλά και στη δημιουργία αφηγήσεων που επηρεάζουν την κοινωνική αντίληψη και την πολιτική ατζέντα. Τα παραδοσιακά ΜΜΕ (εφημερίδες, τηλεόραση, ραδιόφωνο) εξακολουθούν να έχουν ισχυρή επιρροή, καθώς προσδίδουν κύρος και νομιμοποίηση σε πολιτιστικά ζητήματα. Η κάλυψη υποθέσεων επαναπατρισμού, όπως των Μαρμάρων του Παρθενώνα ή των Μπρούντζων του Μπενίν, έχει συμβάλει στη διεθνοποίηση των αιτημάτων και στην άσκηση πίεσης προς κυβερνήσεις και μουσεία (</w:t>
      </w:r>
      <w:r w:rsidRPr="000F3293">
        <w:rPr>
          <w:lang w:val="en-US"/>
        </w:rPr>
        <w:t>Castells</w:t>
      </w:r>
      <w:r w:rsidRPr="000F3293">
        <w:t>, 2009). Μέσα από ρεπορτάζ και ντοκιμαντέρ, τα ΜΜΕ μετατρέπουν τις πολιτιστικές διεκδικήσεις σε ζητήματα ευρύτερου κοινωνικού ενδιαφέροντος.</w:t>
      </w:r>
    </w:p>
    <w:p w14:paraId="723F5C6C" w14:textId="77777777" w:rsidR="00F565CA" w:rsidRPr="000F3293" w:rsidRDefault="003B2CD0" w:rsidP="00DF3F50">
      <w:pPr>
        <w:pStyle w:val="Web"/>
        <w:spacing w:line="360" w:lineRule="auto"/>
        <w:jc w:val="both"/>
      </w:pPr>
      <w:r w:rsidRPr="000F3293">
        <w:tab/>
        <w:t>Η ψηφιακή επικοινωνία, ωστόσο, έχει αλλάξει ριζικά το τοπίο. Τα κοινωνικά δίκτυα, οι ιστοσελίδες οργανισμών και οι διαδικτυακές εκστρατείες επιτρέπουν την άμεση διάχυση πληροφοριών και την ενεργή συμμετοχή των πολιτών.  Η κοινωνία των δικτύων έχει μετατρέψει την επικοινωνία σε πεδίο ισχύος, όπου οι πολιτιστικές αφηγήσεις ανταγωνίζονται για την προσοχή του κοινού. Η δυνατότητα δημιουργίας ψηφιακών κοινοτήτων γύρω από πολιτιστικά ζητήματα ενισχύει την πίεση προς θεσμούς και κυβερνήσεις (</w:t>
      </w:r>
      <w:proofErr w:type="spellStart"/>
      <w:r w:rsidRPr="000F3293">
        <w:rPr>
          <w:lang w:val="en-US"/>
        </w:rPr>
        <w:t>Sulliva</w:t>
      </w:r>
      <w:proofErr w:type="spellEnd"/>
      <w:r w:rsidRPr="000F3293">
        <w:t xml:space="preserve">, 2016). Επιπλέον, η ψηφιακή επικοινωνία προσφέρει νέες μορφές πολιτιστικής εμπειρίας. Οι εικονικές εκθέσεις, οι ψηφιοποιημένες συλλογές και οι διαδικτυακές καμπάνιες καθιστούν την πολιτιστική κληρονομιά </w:t>
      </w:r>
      <w:proofErr w:type="spellStart"/>
      <w:r w:rsidRPr="000F3293">
        <w:t>προσβάσιμη</w:t>
      </w:r>
      <w:proofErr w:type="spellEnd"/>
      <w:r w:rsidRPr="000F3293">
        <w:t xml:space="preserve"> σε παγκόσμιο κοινό. Η ψηφιακή διάχυση πολιτιστικών αγαθών ενισχύει την αίσθηση συλλογικής ιδιοκτησίας και δημιουργεί νέες μορφές πολιτιστικής διπλωματίας (</w:t>
      </w:r>
      <w:proofErr w:type="spellStart"/>
      <w:r w:rsidRPr="000F3293">
        <w:rPr>
          <w:lang w:val="en-US"/>
        </w:rPr>
        <w:t>Musiani</w:t>
      </w:r>
      <w:proofErr w:type="spellEnd"/>
      <w:r w:rsidRPr="000F3293">
        <w:t xml:space="preserve"> &amp; </w:t>
      </w:r>
      <w:r w:rsidRPr="000F3293">
        <w:rPr>
          <w:lang w:val="en-US"/>
        </w:rPr>
        <w:t>Schafer</w:t>
      </w:r>
      <w:r w:rsidRPr="000F3293">
        <w:t xml:space="preserve">, 2017). Προκύπτει λοιπόν ότι ο ρόλος των ΜΜΕ και της ψηφιακής επικοινωνίας είναι διττός: αφενός διαμορφώνουν την κοινή γνώμη και ενισχύουν τις πολιτιστικές διεκδικήσεις και αφετέρου λειτουργούν ως εργαλεία πολιτιστικής διπλωματίας, προβάλλοντας την πολιτιστική κληρονομιά σε διεθνές επίπεδο. Η αλληλεπίδραση παραδοσιακών και ψηφιακών μέσων </w:t>
      </w:r>
      <w:r w:rsidRPr="000F3293">
        <w:lastRenderedPageBreak/>
        <w:t>δημιουργεί ένα δυναμικό περιβάλλον όπου η πολιτιστική πολιτική και η κοινωνική συμμετοχή συναντώνται.</w:t>
      </w:r>
    </w:p>
    <w:p w14:paraId="03C9A15C" w14:textId="49974219" w:rsidR="00F565CA" w:rsidRPr="000F3293" w:rsidRDefault="00F565CA" w:rsidP="001358B2">
      <w:pPr>
        <w:pStyle w:val="1"/>
      </w:pPr>
      <w:bookmarkStart w:id="23" w:name="_Toc233154575"/>
      <w:r w:rsidRPr="000F3293">
        <w:t xml:space="preserve">2.2 Στρατηγικές </w:t>
      </w:r>
      <w:proofErr w:type="spellStart"/>
      <w:r w:rsidRPr="000F3293">
        <w:t>framing</w:t>
      </w:r>
      <w:proofErr w:type="spellEnd"/>
      <w:r w:rsidRPr="000F3293">
        <w:t xml:space="preserve"> και </w:t>
      </w:r>
      <w:proofErr w:type="spellStart"/>
      <w:r w:rsidRPr="000F3293">
        <w:t>storytelling</w:t>
      </w:r>
      <w:bookmarkEnd w:id="23"/>
      <w:proofErr w:type="spellEnd"/>
    </w:p>
    <w:p w14:paraId="693FFF4A" w14:textId="77777777" w:rsidR="00F565CA" w:rsidRPr="000F3293" w:rsidRDefault="00F565CA" w:rsidP="00DF3F50">
      <w:pPr>
        <w:pStyle w:val="Web"/>
        <w:spacing w:line="360" w:lineRule="auto"/>
        <w:jc w:val="both"/>
      </w:pPr>
      <w:r w:rsidRPr="000F3293">
        <w:t xml:space="preserve">Οι πολιτιστικοί οργανισμοί καλούνται να αναπτύξουν ολοκληρωμένες επικοινωνιακές στρατηγικές, ώστε να ανταποκριθούν στις απαιτήσεις ενός κοινού που είναι πλέον πολυδιάστατο, διεθνές και ψηφιακά συνδεδεμένο. Η επικοινωνία δεν περιορίζεται στην απλή ενημέρωση για εκδηλώσεις, αλλά αποτελεί βασικό εργαλείο πολιτιστικής πολιτικής και διπλωματίας. Μία από τις πιο σημαντικές στρατηγικές είναι η </w:t>
      </w:r>
      <w:r w:rsidRPr="000F3293">
        <w:rPr>
          <w:rStyle w:val="a4"/>
          <w:b w:val="0"/>
          <w:bCs w:val="0"/>
        </w:rPr>
        <w:t>ψηφιακή επικοινωνία</w:t>
      </w:r>
      <w:r w:rsidRPr="000F3293">
        <w:t xml:space="preserve">. Μέσα από ιστοσελίδες, κοινωνικά δίκτυα και εφαρμογές, οι οργανισμοί δημιουργούν </w:t>
      </w:r>
      <w:proofErr w:type="spellStart"/>
      <w:r w:rsidRPr="000F3293">
        <w:t>διαδραστικές</w:t>
      </w:r>
      <w:proofErr w:type="spellEnd"/>
      <w:r w:rsidRPr="000F3293">
        <w:t xml:space="preserve"> εμπειρίες που ενισχύουν τη συμμετοχή του κοινού. Η </w:t>
      </w:r>
      <w:proofErr w:type="spellStart"/>
      <w:r w:rsidRPr="000F3293">
        <w:t>Russo</w:t>
      </w:r>
      <w:proofErr w:type="spellEnd"/>
      <w:r w:rsidRPr="000F3293">
        <w:t xml:space="preserve"> και </w:t>
      </w:r>
      <w:proofErr w:type="spellStart"/>
      <w:r w:rsidRPr="000F3293">
        <w:t>Peacock</w:t>
      </w:r>
      <w:proofErr w:type="spellEnd"/>
      <w:r w:rsidRPr="000F3293">
        <w:t xml:space="preserve"> (2009) τονίζουν ότι η ψηφιακή παρουσία των μουσείων και των πολιτιστικών ιδρυμάτων έχει μετατραπεί σε κεντρικό άξονα της επικοινωνίας τους, καθώς επιτρέπει την πρόσβαση σε παγκόσμιο κοινό. Παράλληλα, η</w:t>
      </w:r>
      <w:r w:rsidRPr="000F3293">
        <w:rPr>
          <w:b/>
          <w:bCs/>
        </w:rPr>
        <w:t xml:space="preserve"> </w:t>
      </w:r>
      <w:r w:rsidRPr="000F3293">
        <w:rPr>
          <w:rStyle w:val="a4"/>
          <w:b w:val="0"/>
          <w:bCs w:val="0"/>
        </w:rPr>
        <w:t>εκπαιδευτική διάσταση</w:t>
      </w:r>
      <w:r w:rsidRPr="000F3293">
        <w:t xml:space="preserve"> αποτελεί στρατηγικό εργαλείο. Μέσα από προγράμματα για σχολεία, πανεπιστήμια και ειδικές κοινωνικές ομάδες, οι οργανισμοί ενισχύουν την κοινωνική συνοχή και καλλιεργούν την πολιτιστική συνείδηση. Η </w:t>
      </w:r>
      <w:proofErr w:type="spellStart"/>
      <w:r w:rsidRPr="000F3293">
        <w:t>Hooper-Greenhill</w:t>
      </w:r>
      <w:proofErr w:type="spellEnd"/>
      <w:r w:rsidRPr="000F3293">
        <w:t xml:space="preserve"> (2007,) υποστηρίζει ότι η εκπαιδευτική επικοινωνία συμβάλλει στη δημιουργία δεσμών εμπιστοσύνης μεταξύ οργανισμών και κοινωνίας.</w:t>
      </w:r>
    </w:p>
    <w:p w14:paraId="5731B4EA" w14:textId="77777777" w:rsidR="0024367C" w:rsidRPr="000F3293" w:rsidRDefault="0024367C" w:rsidP="0024367C">
      <w:pPr>
        <w:pStyle w:val="Web"/>
        <w:spacing w:line="360" w:lineRule="auto"/>
        <w:ind w:firstLine="720"/>
        <w:jc w:val="both"/>
      </w:pPr>
      <w:r w:rsidRPr="000F3293">
        <w:t xml:space="preserve">Η αντιπαράθεση για τα Γλυπτά δεν εκτυλίσσεται μόνο ως διαφορά νομικών ισχυρισμών, αλλά και ως σύγκρουση ανταγωνιστικών αφηγημάτων που οργανώνουν την πρόσληψη του κοινού. Τα αφηγήματα αυτά λειτουργούν ως επικοινωνιακά </w:t>
      </w:r>
      <w:r w:rsidRPr="000F3293">
        <w:rPr>
          <w:lang w:val="en-US"/>
        </w:rPr>
        <w:t>frames</w:t>
      </w:r>
      <w:r w:rsidRPr="000F3293">
        <w:t xml:space="preserve">, δηλαδή ως τρόποι να οριστεί τι είναι «το πρόβλημα», ποιος έχει ηθικό πλεονέκτημα και ποια λύση φαίνεται αυτονόητη. Στην περίπτωση του Βρετανικού Μουσείου, ο κεντρικός άξονας είναι το πλαίσιο του Παγκόσμιου μουσείου και της οικουμενικότητας. Ο </w:t>
      </w:r>
      <w:r w:rsidRPr="000F3293">
        <w:rPr>
          <w:lang w:val="en-US"/>
        </w:rPr>
        <w:t>MacGregor</w:t>
      </w:r>
      <w:r w:rsidRPr="000F3293">
        <w:t xml:space="preserve"> παρουσιάζει την ιδέα του «κόσμου κάτω από μία στέγη» ως παιδευτική δυνατότητα του εγκυκλοπαιδικού μουσείου, όπου η συνύπαρξη πολιτισμών επιτρέπει συγκρίσεις και μια μορφή κοσμοπολιτικής αγωγής, με προφανή στόχευση να νομιμοποιηθεί η κατοχή ως υπηρεσία προς το παγκόσμιο κοινό και όχι ως ιδιοκτησιακή διεκδίκηση (</w:t>
      </w:r>
      <w:r w:rsidRPr="000F3293">
        <w:rPr>
          <w:lang w:val="en-US"/>
        </w:rPr>
        <w:t>MacGregor</w:t>
      </w:r>
      <w:r w:rsidRPr="000F3293">
        <w:t xml:space="preserve">, 2009). Στο ίδιο πλαίσιο, ο </w:t>
      </w:r>
      <w:r w:rsidRPr="000F3293">
        <w:rPr>
          <w:lang w:val="en-US"/>
        </w:rPr>
        <w:t>Cuno</w:t>
      </w:r>
      <w:r w:rsidRPr="000F3293">
        <w:t xml:space="preserve"> υπερασπίζεται το Εγκυκλοπαιδικό Μουσείο ως θεσμό πρόσβασης στη γνώση, που οφείλει να προστατεύει τη δυνατότητα μιας παγκόσμιας πολιτιστικής παιδείας, άρα να μην υποτάσσεται σε αιτήματα που παρουσιάζονται ως </w:t>
      </w:r>
      <w:r w:rsidRPr="000F3293">
        <w:lastRenderedPageBreak/>
        <w:t>αποκλειστικά εθνικά (</w:t>
      </w:r>
      <w:r w:rsidRPr="000F3293">
        <w:rPr>
          <w:lang w:val="en-US"/>
        </w:rPr>
        <w:t>Cuno</w:t>
      </w:r>
      <w:r w:rsidRPr="000F3293">
        <w:t>, 2011). Έτσι, το πλαίσιο της οικουμενικότητας μετατοπίζει τη συζήτηση από το ερώτημα «σε ποιον ανήκει» στο ερώτημα «σε ποιον ωφελεί», και επιδιώκει να αποδώσει στην παραμονή των Γλυπτών χαρακτήρα δημόσιου αγαθού.</w:t>
      </w:r>
    </w:p>
    <w:p w14:paraId="28F65897" w14:textId="77777777" w:rsidR="0024367C" w:rsidRPr="000F3293" w:rsidRDefault="0024367C" w:rsidP="0024367C">
      <w:pPr>
        <w:pStyle w:val="Web"/>
        <w:spacing w:line="360" w:lineRule="auto"/>
        <w:ind w:firstLine="720"/>
        <w:jc w:val="both"/>
      </w:pPr>
      <w:r w:rsidRPr="000F3293">
        <w:t xml:space="preserve">Συναφές είναι και το πλαίσιο της Διαχείρισης, που στηρίζεται στην ιδέα ότι η κατοχή νομιμοποιείται μέσα από την επιμέλεια, τη συντήρηση, την ασφάλεια και την επαγγελματική μουσειακή διαχείριση. Η επιχειρηματολογία αποκτά συχνά «κοινή λογική» διατύπωση, ότι δηλαδή η καλύτερη προστασία και η μέγιστη πρόσβαση υπηρετούνται από έναν ισχυρό θεσμό με παγκόσμια ακτινοβολία. Η </w:t>
      </w:r>
      <w:proofErr w:type="spellStart"/>
      <w:r w:rsidRPr="000F3293">
        <w:rPr>
          <w:lang w:val="en-US"/>
        </w:rPr>
        <w:t>Stamatoudi</w:t>
      </w:r>
      <w:proofErr w:type="spellEnd"/>
      <w:r w:rsidRPr="000F3293">
        <w:t xml:space="preserve"> δείχνει ότι η θεσμική γραμμή του Ηνωμένου Βασιλείου συνδυάζει αυτό το πλαίσιο με την επίκληση νομικών περιορισμών και με την «θεωρία του Παγκόσμιου Μουσείου», έτσι ώστε η θέση να εμφανίζεται όχι μόνο επιθυμητή αλλά και πρακτικά αναπόφευκτη (</w:t>
      </w:r>
      <w:proofErr w:type="spellStart"/>
      <w:r w:rsidRPr="000F3293">
        <w:rPr>
          <w:lang w:val="en-US"/>
        </w:rPr>
        <w:t>Stamatoudi</w:t>
      </w:r>
      <w:proofErr w:type="spellEnd"/>
      <w:r w:rsidRPr="000F3293">
        <w:t>, 2022). Παράλληλα, μέσα από αυτό το πλαίσιο, το ζήτημα επανεντάσσεται σε ένα αφήγημα θεσμικής αξιοπιστίας, όπου ο φορέας κατοχής παρουσιάζεται ως ο καταλληλότερος διαχειριστής.</w:t>
      </w:r>
    </w:p>
    <w:p w14:paraId="0DB15BB2" w14:textId="77777777" w:rsidR="0024367C" w:rsidRPr="000F3293" w:rsidRDefault="0024367C" w:rsidP="000B7D01">
      <w:pPr>
        <w:pStyle w:val="Web"/>
        <w:spacing w:line="360" w:lineRule="auto"/>
        <w:ind w:firstLine="720"/>
        <w:jc w:val="both"/>
      </w:pPr>
      <w:r w:rsidRPr="000F3293">
        <w:t xml:space="preserve">Απέναντι σε αυτά τα πλαίσια, η ελληνική πλευρά επιλέγει συστηματικά τη γλώσσα της επανένωσης και όχι της απλής επιστροφής, ακριβώς για να μετατρέψει το ζήτημα σε αποκατάσταση ακεραιότητας ενός μνημείου. Η λογική εδώ είναι ότι τα Γλυπτά δεν είναι «αντικείμενα» με αυτόνομη ζωή, αλλά τμήματα ενός ενιαίου μνημειακού σώματος, άρα το κατάλληλο πλαίσιο είναι η επανένωση και η αποκατάσταση του </w:t>
      </w:r>
      <w:proofErr w:type="spellStart"/>
      <w:r w:rsidRPr="000F3293">
        <w:t>συμφραζομένου</w:t>
      </w:r>
      <w:proofErr w:type="spellEnd"/>
      <w:r w:rsidRPr="000F3293">
        <w:t xml:space="preserve">. Η Γαζή αναδεικνύει ότι η υπόθεση Παρθενώνα επιτρέπει να τεθούν οι αρχές της επιστροφής σε </w:t>
      </w:r>
      <w:proofErr w:type="spellStart"/>
      <w:r w:rsidRPr="000F3293">
        <w:t>μουσειολογικούς</w:t>
      </w:r>
      <w:proofErr w:type="spellEnd"/>
      <w:r w:rsidRPr="000F3293">
        <w:t xml:space="preserve"> και πολιτισμικούς όρους, με έμφαση στην ενότητα και στη σημασία του τόπου, και όχι αποκλειστικά σε όρους κατοχής (</w:t>
      </w:r>
      <w:r w:rsidRPr="000F3293">
        <w:rPr>
          <w:lang w:val="en-US"/>
        </w:rPr>
        <w:t>Gazi</w:t>
      </w:r>
      <w:r w:rsidRPr="000F3293">
        <w:t xml:space="preserve">, 1990). Η </w:t>
      </w:r>
      <w:proofErr w:type="spellStart"/>
      <w:r w:rsidRPr="000F3293">
        <w:rPr>
          <w:lang w:val="en-US"/>
        </w:rPr>
        <w:t>Stamatoudi</w:t>
      </w:r>
      <w:proofErr w:type="spellEnd"/>
      <w:r w:rsidRPr="000F3293">
        <w:t xml:space="preserve"> συμπληρώνει ότι αυτό το </w:t>
      </w:r>
      <w:r w:rsidRPr="000F3293">
        <w:rPr>
          <w:lang w:val="en-US"/>
        </w:rPr>
        <w:t>frame</w:t>
      </w:r>
      <w:r w:rsidRPr="000F3293">
        <w:t xml:space="preserve"> ενισχύει την ηθική διάσταση της διεκδίκησης, επειδή συνδέει την επίλυση με την ιστορική δικαιοσύνη και με τη λειτουργική αποκατάσταση ενός μοναδικού μνημείου (</w:t>
      </w:r>
      <w:proofErr w:type="spellStart"/>
      <w:r w:rsidRPr="000F3293">
        <w:rPr>
          <w:lang w:val="en-US"/>
        </w:rPr>
        <w:t>Stamatoudi</w:t>
      </w:r>
      <w:proofErr w:type="spellEnd"/>
      <w:r w:rsidRPr="000F3293">
        <w:t xml:space="preserve">, 2022). Το πλαίσιο αυτό γίνεται ακόμη πιο αποτελεσματικό επικοινωνιακά, όταν συνδέεται με τη διαχείριση κοινής γνώμης και με την «κατανάλωση» της κληρονομιάς, όπως δείχνει η </w:t>
      </w:r>
      <w:proofErr w:type="spellStart"/>
      <w:r w:rsidRPr="000F3293">
        <w:rPr>
          <w:lang w:val="en-US"/>
        </w:rPr>
        <w:t>Kersel</w:t>
      </w:r>
      <w:proofErr w:type="spellEnd"/>
      <w:r w:rsidRPr="000F3293">
        <w:t xml:space="preserve">, επειδή τα εμβληματικά αντικείμενα λειτουργούν ως ισχυρά </w:t>
      </w:r>
      <w:r w:rsidRPr="000F3293">
        <w:rPr>
          <w:lang w:val="en-US"/>
        </w:rPr>
        <w:t>brands</w:t>
      </w:r>
      <w:r w:rsidRPr="000F3293">
        <w:t>, άρα και ως ισχυρά σύμβολα συλλογικής ταυτότητας για διαφορετικά ακροατήρια (</w:t>
      </w:r>
      <w:proofErr w:type="spellStart"/>
      <w:r w:rsidRPr="000F3293">
        <w:rPr>
          <w:lang w:val="en-US"/>
        </w:rPr>
        <w:t>Kersel</w:t>
      </w:r>
      <w:proofErr w:type="spellEnd"/>
      <w:r w:rsidRPr="000F3293">
        <w:t>, 2004).</w:t>
      </w:r>
    </w:p>
    <w:p w14:paraId="68177009" w14:textId="77777777" w:rsidR="00F565CA" w:rsidRPr="000F3293" w:rsidRDefault="000F72CF" w:rsidP="00DF3F50">
      <w:pPr>
        <w:pStyle w:val="Web"/>
        <w:spacing w:line="360" w:lineRule="auto"/>
        <w:jc w:val="both"/>
      </w:pPr>
      <w:r w:rsidRPr="000F3293">
        <w:lastRenderedPageBreak/>
        <w:tab/>
        <w:t xml:space="preserve">Σημαντική είναι επίσης η στρατηγική του </w:t>
      </w:r>
      <w:proofErr w:type="spellStart"/>
      <w:r w:rsidRPr="000F3293">
        <w:rPr>
          <w:rStyle w:val="a4"/>
          <w:b w:val="0"/>
          <w:bCs w:val="0"/>
        </w:rPr>
        <w:t>branding</w:t>
      </w:r>
      <w:proofErr w:type="spellEnd"/>
      <w:r w:rsidRPr="000F3293">
        <w:rPr>
          <w:rStyle w:val="a4"/>
          <w:b w:val="0"/>
          <w:bCs w:val="0"/>
        </w:rPr>
        <w:t xml:space="preserve"> και </w:t>
      </w:r>
      <w:proofErr w:type="spellStart"/>
      <w:r w:rsidRPr="000F3293">
        <w:rPr>
          <w:rStyle w:val="a4"/>
          <w:b w:val="0"/>
          <w:bCs w:val="0"/>
        </w:rPr>
        <w:t>storytelling</w:t>
      </w:r>
      <w:proofErr w:type="spellEnd"/>
      <w:r w:rsidRPr="000F3293">
        <w:t xml:space="preserve">. Οι οργανισμοί προβάλλουν την ταυτότητά τους μέσα από αφηγήσεις που συνδέουν το παρελθόν με το παρόν, δημιουργώντας συναισθηματικούς δεσμούς με το κοινό. Οι </w:t>
      </w:r>
      <w:proofErr w:type="spellStart"/>
      <w:r w:rsidRPr="000F3293">
        <w:t>Rentschler</w:t>
      </w:r>
      <w:proofErr w:type="spellEnd"/>
      <w:r w:rsidRPr="000F3293">
        <w:t xml:space="preserve"> και </w:t>
      </w:r>
      <w:proofErr w:type="spellStart"/>
      <w:r w:rsidRPr="000F3293">
        <w:t>Hede</w:t>
      </w:r>
      <w:proofErr w:type="spellEnd"/>
      <w:r w:rsidRPr="000F3293">
        <w:t xml:space="preserve"> (2007) επισημαίνουν ότι η αφήγηση αποτελεί ισχυρό εργαλείο μάρκετινγκ, καθώς ενισχύει την </w:t>
      </w:r>
      <w:proofErr w:type="spellStart"/>
      <w:r w:rsidRPr="000F3293">
        <w:t>αναγνωρισιμότητα</w:t>
      </w:r>
      <w:proofErr w:type="spellEnd"/>
      <w:r w:rsidRPr="000F3293">
        <w:t xml:space="preserve"> και διαφοροποιεί τον οργανισμό σε διεθνές επίπεδο. Τέλος, η </w:t>
      </w:r>
      <w:r w:rsidRPr="000F3293">
        <w:rPr>
          <w:rStyle w:val="a4"/>
          <w:b w:val="0"/>
          <w:bCs w:val="0"/>
        </w:rPr>
        <w:t>συμμετοχική επικοινωνία</w:t>
      </w:r>
      <w:r w:rsidRPr="000F3293">
        <w:t xml:space="preserve"> έχει αποκτήσει ιδιαίτερη σημασία. Μέσα από εθελοντικά προγράμματα, ψηφιακές πλατφόρμες και </w:t>
      </w:r>
      <w:proofErr w:type="spellStart"/>
      <w:r w:rsidRPr="000F3293">
        <w:t>συνδημιουργία</w:t>
      </w:r>
      <w:proofErr w:type="spellEnd"/>
      <w:r w:rsidRPr="000F3293">
        <w:t xml:space="preserve"> περιεχομένου, οι πολίτες μετατρέπονται σε ενεργούς συντελεστές της πολιτιστικής εμπειρίας. Η </w:t>
      </w:r>
      <w:proofErr w:type="spellStart"/>
      <w:r w:rsidRPr="000F3293">
        <w:t>Simon</w:t>
      </w:r>
      <w:proofErr w:type="spellEnd"/>
      <w:r w:rsidRPr="000F3293">
        <w:t xml:space="preserve"> (2010) σημειώνει ότι η συμμετοχική επικοινωνία ενισχύει την αίσθηση ιδιοκτησίας και εμπλοκής, καθιστώντας το κοινό «συνεργό» στη διαμόρφωση της πολιτιστικής πολιτικής. Συμπερασματικά, οι επικοινωνιακές στρατηγικές των πολιτιστικών οργανισμών συνδυάζουν ψηφιακά μέσα, εκπαιδευτικά προγράμματα, </w:t>
      </w:r>
      <w:proofErr w:type="spellStart"/>
      <w:r w:rsidRPr="000F3293">
        <w:t>branding</w:t>
      </w:r>
      <w:proofErr w:type="spellEnd"/>
      <w:r w:rsidRPr="000F3293">
        <w:t xml:space="preserve"> και συμμετοχικές πρακτικές. Μέσα από αυτές, οι οργανισμοί ενισχύουν την κοινωνική τους απήχηση, προβάλλουν την πολιτιστική τους ταυτότητα και συμβάλλουν στη διαμόρφωση μιας ενεργής και ενημερωμένης κοινής γνώμης.</w:t>
      </w:r>
    </w:p>
    <w:p w14:paraId="66320832" w14:textId="1613B2A1" w:rsidR="00F565CA" w:rsidRPr="000F3293" w:rsidRDefault="00F565CA" w:rsidP="001358B2">
      <w:pPr>
        <w:pStyle w:val="1"/>
      </w:pPr>
      <w:bookmarkStart w:id="24" w:name="_Toc233154576"/>
      <w:r w:rsidRPr="000F3293">
        <w:t>2.3 Επίδραση κοινής γνώμης στις πολιτικές αποφάσεις</w:t>
      </w:r>
      <w:bookmarkEnd w:id="24"/>
    </w:p>
    <w:p w14:paraId="28715AD4" w14:textId="77777777" w:rsidR="00F565CA" w:rsidRPr="000F3293" w:rsidRDefault="00F565CA" w:rsidP="00DF3F50">
      <w:pPr>
        <w:pStyle w:val="Web"/>
        <w:spacing w:line="360" w:lineRule="auto"/>
        <w:jc w:val="both"/>
      </w:pPr>
      <w:r w:rsidRPr="000F3293">
        <w:t xml:space="preserve">Η δημόσια γνώμη διαδραματίζει καθοριστικό ρόλο στη διαμόρφωση πολιτικών για την πολιτιστική κληρονομιά, καθώς επηρεάζει άμεσα τις κυβερνήσεις, τους διεθνείς οργανισμούς και τα μουσεία. Η πολιτιστική κληρονομιά δεν αποτελεί μόνο αντικείμενο νομικών διεκδικήσεων αλλά και στοιχείο συλλογικής ταυτότητας, γεγονός που καθιστά την κοινωνική πίεση κρίσιμη για την επιτυχία των πολιτιστικών πρωτοβουλιών. Η </w:t>
      </w:r>
      <w:proofErr w:type="spellStart"/>
      <w:r w:rsidRPr="000F3293">
        <w:t>Greenfield</w:t>
      </w:r>
      <w:proofErr w:type="spellEnd"/>
      <w:r w:rsidRPr="000F3293">
        <w:t xml:space="preserve"> (2007) επισημαίνει ότι η υπόθεση των Μαρμάρων του Παρθενώνα έχει αποκτήσει διεθνή διάσταση κυρίως λόγω της δημόσιας πίεσης και όχι εξαιτίας νομικών μηχανισμών. Η ελληνική κοινωνία έχει καταστήσει τον επαναπατρισμό ζήτημα εθνικής αξιοπρέπειας, ενώ η διεθνής κοινή γνώμη ενισχύει την πολιτική διεκδίκηση. Αντίστοιχα, τα Μπρούντζινα του Μπενίν αποτελούν παράδειγμα όπου η διεθνής κατακραυγή για τη λεηλασία του 1897 οδήγησε σε εθελοντικές επιστροφές από μεγάλα ευρωπαϊκά μουσεία (</w:t>
      </w:r>
      <w:proofErr w:type="spellStart"/>
      <w:r w:rsidRPr="000F3293">
        <w:t>Savoy</w:t>
      </w:r>
      <w:proofErr w:type="spellEnd"/>
      <w:r w:rsidRPr="000F3293">
        <w:t>, 2022).</w:t>
      </w:r>
    </w:p>
    <w:p w14:paraId="1FB649BD" w14:textId="77777777" w:rsidR="00F565CA" w:rsidRPr="000F3293" w:rsidRDefault="00F34D53" w:rsidP="00DF3F50">
      <w:pPr>
        <w:pStyle w:val="Web"/>
        <w:spacing w:line="360" w:lineRule="auto"/>
        <w:jc w:val="both"/>
      </w:pPr>
      <w:r w:rsidRPr="000F3293">
        <w:tab/>
        <w:t xml:space="preserve">Η δημόσια γνώμη διαμορφώνεται σε μεγάλο βαθμό από τα μέσα ενημέρωσης και τις ψηφιακές πλατφόρμες. Ο </w:t>
      </w:r>
      <w:proofErr w:type="spellStart"/>
      <w:r w:rsidRPr="000F3293">
        <w:t>Harrison</w:t>
      </w:r>
      <w:proofErr w:type="spellEnd"/>
      <w:r w:rsidRPr="000F3293">
        <w:t xml:space="preserve"> (2013) υποστηρίζει ότι η προβολή πολιτιστικών θεμάτων στα </w:t>
      </w:r>
      <w:r w:rsidRPr="000F3293">
        <w:lastRenderedPageBreak/>
        <w:t>κοινωνικά δίκτυα δημιουργεί νέες μορφές συμμετοχής, όπου οι πολίτες μπορούν να εκφράσουν άμεσα τις απόψεις τους και να ασκήσουν πίεση σε θεσμούς. Η ψηφιακή επικοινωνία έχει μετατρέψει τον επαναπατρισμό σε ζήτημα παγκόσμιας συζήτησης, ενισχύοντας την αίσθηση συλλογικής ευθύνης. Στην ουσία, η δημόσια γνώμη λειτουργεί ως καταλύτης για την αλλαγή πολιτικών στάσεων. Μέσα από την κοινωνική πίεση, την ψηφιακή συμμετοχή και την ηθική διάσταση, η κοινή γνώμη ενισχύει τις διεκδικήσεις επαναπατρισμού και συμβάλλει στη διαμόρφωση ενός διεθνούς πλαισίου συνεργασίας.</w:t>
      </w:r>
    </w:p>
    <w:p w14:paraId="2F379F85" w14:textId="1C6662AC" w:rsidR="00F565CA" w:rsidRPr="000F3293" w:rsidRDefault="00F565CA" w:rsidP="001358B2">
      <w:pPr>
        <w:pStyle w:val="1"/>
      </w:pPr>
      <w:bookmarkStart w:id="25" w:name="_Toc233154577"/>
      <w:r w:rsidRPr="000F3293">
        <w:t>2.4 Παραδείγματα καμπανιών υπέρ επαναπατρισμού</w:t>
      </w:r>
      <w:bookmarkEnd w:id="25"/>
    </w:p>
    <w:p w14:paraId="03EF6C37" w14:textId="77777777" w:rsidR="00F565CA" w:rsidRPr="000F3293" w:rsidRDefault="00F565CA" w:rsidP="00DF3F50">
      <w:pPr>
        <w:pStyle w:val="Web"/>
        <w:spacing w:line="360" w:lineRule="auto"/>
        <w:jc w:val="both"/>
      </w:pPr>
      <w:r w:rsidRPr="000F3293">
        <w:t xml:space="preserve">Η πολιτιστική διπλωματία δεν περιορίζεται στη διακρατική συνεργασία, αλλά επεκτείνεται στη διαμόρφωση της κοινής γνώμης τόσο σε εθνικό όσο και σε διεθνές επίπεδο. Μέσα από πολιτιστικές δράσεις, εκθέσεις, δανεισμούς έργων τέχνης και διεθνείς καμπάνιες, τα κράτη επιδιώκουν να επηρεάσουν την αντίληψη των κοινωνιών για την πολιτιστική τους κληρονομιά και να ενισχύσουν την πολιτική τους θέση. Η </w:t>
      </w:r>
      <w:r w:rsidRPr="000F3293">
        <w:rPr>
          <w:rStyle w:val="a4"/>
          <w:b w:val="0"/>
          <w:bCs w:val="0"/>
        </w:rPr>
        <w:t>δημόσια γνώμη</w:t>
      </w:r>
      <w:r w:rsidRPr="000F3293">
        <w:t xml:space="preserve"> λειτουργεί ως καταλύτης για την επιτυχία ή την αποτυχία των πολιτιστικών διπλωματικών πρωτοβουλιών. Όπως σημειώνει ο </w:t>
      </w:r>
      <w:proofErr w:type="spellStart"/>
      <w:r w:rsidRPr="000F3293">
        <w:t>Mark</w:t>
      </w:r>
      <w:proofErr w:type="spellEnd"/>
      <w:r w:rsidRPr="000F3293">
        <w:t xml:space="preserve"> (2009), η πολιτιστική διπλωματία είναι αποτελεσματική όταν καταφέρνει να δημιουργήσει θετικές εντυπώσεις και να ενισχύσει την αίσθηση εμπιστοσύνης μεταξύ λαών. Η κοινή γνώμη, επηρεασμένη από τα ΜΜΕ και την ψηφιακή επικοινωνία, μπορεί να ασκήσει πίεση σε κυβερνήσεις και οργανισμούς ώστε να προχωρήσουν σε επαναπατρισμούς ή συνεργασίες. Χαρακτηριστικό παράδειγμα αποτελεί η διεθνής συζήτηση γύρω από τα</w:t>
      </w:r>
      <w:r w:rsidRPr="000F3293">
        <w:rPr>
          <w:rStyle w:val="a4"/>
        </w:rPr>
        <w:t xml:space="preserve"> </w:t>
      </w:r>
      <w:r w:rsidRPr="000F3293">
        <w:rPr>
          <w:rStyle w:val="a4"/>
          <w:b w:val="0"/>
          <w:bCs w:val="0"/>
        </w:rPr>
        <w:t>Μάρμαρα του Παρθενώνα</w:t>
      </w:r>
      <w:r w:rsidRPr="000F3293">
        <w:t xml:space="preserve">. Η ελληνική πολιτιστική διπλωματία έχει επενδύσει σε εκστρατείες ενημέρωσης και διεθνείς συνεργασίες, με στόχο να ενισχύσει την πίεση της κοινής γνώμης στη Βρετανία και διεθνώς. Ο </w:t>
      </w:r>
      <w:proofErr w:type="spellStart"/>
      <w:r w:rsidRPr="000F3293">
        <w:t>Hamilakis</w:t>
      </w:r>
      <w:proofErr w:type="spellEnd"/>
      <w:r w:rsidRPr="000F3293">
        <w:t xml:space="preserve"> (1999) υπογραμμίζει ότι η δημόσια συζήτηση γύρω από τα Μάρμαρα έχει μετατραπεί σε ζήτημα πολιτιστικής ταυτότητας, όπου η κοινή γνώμη παίζει καθοριστικό ρόλο. Αντίστοιχα, οι τα Μπρούντζινα του Μπενίν έχουν γίνει αντικείμενο έντονου δημόσιου διαλόγου, με αποτέλεσμα μεγάλα ευρωπαϊκά μουσεία να ανακοινώσουν επιστροφές υπό την πίεση της διεθνούς κοινής γνώμης (</w:t>
      </w:r>
      <w:proofErr w:type="spellStart"/>
      <w:r w:rsidRPr="000F3293">
        <w:t>Hicks</w:t>
      </w:r>
      <w:proofErr w:type="spellEnd"/>
      <w:r w:rsidRPr="000F3293">
        <w:t>, 2020).</w:t>
      </w:r>
    </w:p>
    <w:p w14:paraId="1317249E" w14:textId="77777777" w:rsidR="00F565CA" w:rsidRPr="000F3293" w:rsidRDefault="00042060" w:rsidP="00DB698D">
      <w:pPr>
        <w:pStyle w:val="Web"/>
        <w:spacing w:line="360" w:lineRule="auto"/>
        <w:jc w:val="both"/>
      </w:pPr>
      <w:r w:rsidRPr="000F3293">
        <w:tab/>
        <w:t xml:space="preserve">Η πολιτιστική διπλωματία αξιοποιεί επίσης την </w:t>
      </w:r>
      <w:r w:rsidRPr="000F3293">
        <w:rPr>
          <w:rStyle w:val="a4"/>
          <w:b w:val="0"/>
          <w:bCs w:val="0"/>
        </w:rPr>
        <w:t>ψηφιακή επικοινωνία</w:t>
      </w:r>
      <w:r w:rsidRPr="000F3293">
        <w:t xml:space="preserve"> για να ενισχύσει την απήχηση της. Οι διαδικτυακές εκστρατείες, οι ψηφιακές εκθέσεις και οι καμπάνιες στα κοινωνικά </w:t>
      </w:r>
      <w:r w:rsidRPr="000F3293">
        <w:lastRenderedPageBreak/>
        <w:t xml:space="preserve">δίκτυα επιτρέπουν την άμεση διάχυση πολιτιστικών αφηγήσεων και τη δημιουργία διεθνών κοινοτήτων υποστήριξης. Οι </w:t>
      </w:r>
      <w:proofErr w:type="spellStart"/>
      <w:r w:rsidRPr="000F3293">
        <w:t>Bound</w:t>
      </w:r>
      <w:proofErr w:type="spellEnd"/>
      <w:r w:rsidRPr="000F3293">
        <w:t xml:space="preserve"> </w:t>
      </w:r>
      <w:proofErr w:type="spellStart"/>
      <w:r w:rsidRPr="000F3293">
        <w:t>et</w:t>
      </w:r>
      <w:proofErr w:type="spellEnd"/>
      <w:r w:rsidRPr="000F3293">
        <w:t xml:space="preserve"> </w:t>
      </w:r>
      <w:proofErr w:type="spellStart"/>
      <w:r w:rsidRPr="000F3293">
        <w:t>al</w:t>
      </w:r>
      <w:proofErr w:type="spellEnd"/>
      <w:r w:rsidRPr="000F3293">
        <w:t>. (2007) τονίζουν ότι η πολιτιστική διπλωματία είναι πιο αποτελεσματική όταν συνδυάζει την παραδοσιακή προβολή με σύγχρονα μέσα επικοινωνίας. Ως εκ τούτου, τόσο η πολιτιστική διπλωματία όσο και η κοινή γνώμη βρίσκονται σε συνεχή αλληλεπίδραση. Η διπλωματία αξιοποιεί τον πολιτισμό για να επηρεάσει κοινωνίες, ενώ η κοινή γνώμη, μέσα από την ηθική πίεση και τη δημόσια συζήτηση, καθορίζει την επιτυχία των πολιτιστικών πρωτοβουλιών.</w:t>
      </w:r>
    </w:p>
    <w:p w14:paraId="79E4826F" w14:textId="77777777" w:rsidR="0024367C" w:rsidRPr="000F3293" w:rsidRDefault="0024367C" w:rsidP="0024367C">
      <w:pPr>
        <w:pStyle w:val="Web"/>
        <w:spacing w:line="360" w:lineRule="auto"/>
        <w:ind w:firstLine="720"/>
        <w:jc w:val="both"/>
      </w:pPr>
      <w:r w:rsidRPr="000F3293">
        <w:t xml:space="preserve">Στο επίπεδο της δημόσιας σφαίρας, δύο πλαίσια λειτουργούν ως κρίσιμες τεχνικές διαχείρισης κινδύνου για τους θεσμούς που αντιτίθενται στην επιστροφή, το «κόστος προηγούμενου» και το επιχείρημα των </w:t>
      </w:r>
      <w:r w:rsidRPr="000F3293">
        <w:rPr>
          <w:lang w:val="en-US"/>
        </w:rPr>
        <w:t>floodgates</w:t>
      </w:r>
      <w:r w:rsidRPr="000F3293">
        <w:t xml:space="preserve">. Η λογική τους είναι ότι μια παραχώρηση θα δημιουργήσει προηγούμενο, το οποίο θα πολλαπλασιάσει αιτήματα και θα αποσταθεροποιήσει συλλογές. Η </w:t>
      </w:r>
      <w:proofErr w:type="spellStart"/>
      <w:r w:rsidRPr="000F3293">
        <w:rPr>
          <w:lang w:val="en-US"/>
        </w:rPr>
        <w:t>Stamatoudi</w:t>
      </w:r>
      <w:proofErr w:type="spellEnd"/>
      <w:r w:rsidRPr="000F3293">
        <w:t xml:space="preserve"> καταγράφει ότι τέτοια επιχειρήματα εμφανίζονται μαζί με θεσμικές αναφορές περί νομικών περιορισμών, ώστε η άρνηση να παρουσιάζεται ως υπεύθυνη διαχείριση ενός συστήματος και όχι ως άκαμπτη στάση απέναντι σε ένα μεμονωμένο αίτημα (</w:t>
      </w:r>
      <w:proofErr w:type="spellStart"/>
      <w:r w:rsidRPr="000F3293">
        <w:rPr>
          <w:lang w:val="en-US"/>
        </w:rPr>
        <w:t>Stamatoudi</w:t>
      </w:r>
      <w:proofErr w:type="spellEnd"/>
      <w:r w:rsidRPr="000F3293">
        <w:t>, 2022). Σε αυτό το σημείο, το παγκόσμιο μουσείο μετατρέπεται σε «ασπίδα» πολιτικής: η οικουμενικότητα δεν λειτουργεί μόνο ως αξία, αλλά και ως μηχανισμός αποτροπής, διότι υπονοεί ότι η «αφαίρεση» αντικειμένων θα αποδυναμώσει τον ίδιο τον θεσμό της παγκόσμιας πρόσβασης (</w:t>
      </w:r>
      <w:r w:rsidRPr="000F3293">
        <w:rPr>
          <w:lang w:val="en-US"/>
        </w:rPr>
        <w:t>MacGregor</w:t>
      </w:r>
      <w:r w:rsidRPr="000F3293">
        <w:t xml:space="preserve">, 2009, </w:t>
      </w:r>
      <w:r w:rsidRPr="000F3293">
        <w:rPr>
          <w:lang w:val="en-US"/>
        </w:rPr>
        <w:t>Cuno</w:t>
      </w:r>
      <w:r w:rsidRPr="000F3293">
        <w:t>, 2011).</w:t>
      </w:r>
    </w:p>
    <w:p w14:paraId="4E6CCFA3" w14:textId="77777777" w:rsidR="0024367C" w:rsidRPr="000F3293" w:rsidRDefault="0024367C" w:rsidP="0024367C">
      <w:pPr>
        <w:pStyle w:val="Web"/>
        <w:spacing w:line="360" w:lineRule="auto"/>
        <w:ind w:firstLine="720"/>
        <w:jc w:val="both"/>
      </w:pPr>
      <w:r w:rsidRPr="000F3293">
        <w:t xml:space="preserve">Η αποτελεσματικότητα αυτού του πλαισίου στη διαχείριση κοινής γνώμης είναι ότι μετατοπίζει την προσοχή από την ιδιαιτερότητα του Παρθενώνα σε μια υποτιθέμενη γενική κατάρρευση. Αντί να συζητείται το τι σημαίνει ηθικά και </w:t>
      </w:r>
      <w:proofErr w:type="spellStart"/>
      <w:r w:rsidRPr="000F3293">
        <w:t>μουσειολογικά</w:t>
      </w:r>
      <w:proofErr w:type="spellEnd"/>
      <w:r w:rsidRPr="000F3293">
        <w:t xml:space="preserve"> η αποσπασματική κατοχή τμημάτων ενός μοναδικού μνημείου, προβάλλεται ο φόβος ενός ντόμινο που θα «αδειάσει» τα μουσεία. Η </w:t>
      </w:r>
      <w:proofErr w:type="spellStart"/>
      <w:r w:rsidRPr="000F3293">
        <w:rPr>
          <w:lang w:val="en-US"/>
        </w:rPr>
        <w:t>Kersel</w:t>
      </w:r>
      <w:proofErr w:type="spellEnd"/>
      <w:r w:rsidRPr="000F3293">
        <w:t xml:space="preserve"> επισημαίνει ότι τέτοιου τύπου αφηγήματα τροφοδοτούνται από ανταγωνιστικά συμφέροντα και από την πολιτική οικονομία της κληρονομιάς, επειδή τα εμβληματικά αντικείμενα δεν είναι ουδέτερα. Παράγουν κύρος, </w:t>
      </w:r>
      <w:proofErr w:type="spellStart"/>
      <w:r w:rsidRPr="000F3293">
        <w:t>επισκεψιμότητα</w:t>
      </w:r>
      <w:proofErr w:type="spellEnd"/>
      <w:r w:rsidRPr="000F3293">
        <w:t xml:space="preserve"> και συμβολικό κεφάλαιο, άρα η απώλειά τους παρουσιάζεται ως απειλή για θεσμούς, πόλεις και αφηγήσεις ισχύος (</w:t>
      </w:r>
      <w:proofErr w:type="spellStart"/>
      <w:r w:rsidRPr="000F3293">
        <w:rPr>
          <w:lang w:val="en-US"/>
        </w:rPr>
        <w:t>Kersel</w:t>
      </w:r>
      <w:proofErr w:type="spellEnd"/>
      <w:r w:rsidRPr="000F3293">
        <w:t xml:space="preserve">, 2004). Με αυτό τον τρόπο, το «κόστος προηγούμενου» δεν λειτουργεί μόνο ως επιχείρημα αρχής, αλλά και ως στρατηγική διαχείρισης του δημοσίου αισθήματος, αφού </w:t>
      </w:r>
      <w:r w:rsidRPr="000F3293">
        <w:lastRenderedPageBreak/>
        <w:t>ανακατασκευάζει το αίτημα επανένωσης ως απειλή για το «δικαίωμα» του κοινού να απολαμβάνει παγκόσμιες συλλογές.</w:t>
      </w:r>
    </w:p>
    <w:p w14:paraId="3F668F09" w14:textId="31862298" w:rsidR="0024367C" w:rsidRPr="000F3293" w:rsidRDefault="0024367C" w:rsidP="0024367C">
      <w:pPr>
        <w:pStyle w:val="Web"/>
        <w:spacing w:line="360" w:lineRule="auto"/>
        <w:ind w:firstLine="720"/>
        <w:jc w:val="both"/>
      </w:pPr>
      <w:r w:rsidRPr="000F3293">
        <w:t xml:space="preserve">Από την άλλη πλευρά, το </w:t>
      </w:r>
      <w:r w:rsidR="00523A89" w:rsidRPr="000F3293">
        <w:t>πλαίσιο</w:t>
      </w:r>
      <w:r w:rsidRPr="000F3293">
        <w:t xml:space="preserve"> της επανένωσης λειτουργεί ως αντίβαρο ακριβώς επειδή επιχειρεί να ακυρώσει την κατηγορία του προηγούμενου. Η ελληνική στρατηγική, όπως προκύπτει από τη συνολική χαρτογράφηση της </w:t>
      </w:r>
      <w:proofErr w:type="spellStart"/>
      <w:r w:rsidRPr="000F3293">
        <w:rPr>
          <w:lang w:val="en-US"/>
        </w:rPr>
        <w:t>Stamatoudi</w:t>
      </w:r>
      <w:proofErr w:type="spellEnd"/>
      <w:r w:rsidRPr="000F3293">
        <w:t>, στηρίζεται στη ρητή ανάδειξη της μοναδικότητας του Παρθενώνα, ώστε να παρουσιαστεί η επανένωση ως ειδική περίπτωση που δεν γενικεύεται αυτομάτως σε κάθε αίτημα επαναπατρισμού (</w:t>
      </w:r>
      <w:proofErr w:type="spellStart"/>
      <w:r w:rsidRPr="000F3293">
        <w:rPr>
          <w:lang w:val="en-US"/>
        </w:rPr>
        <w:t>Stamatoudi</w:t>
      </w:r>
      <w:proofErr w:type="spellEnd"/>
      <w:r w:rsidRPr="000F3293">
        <w:t xml:space="preserve">, 2022). Έτσι, το αίτημα </w:t>
      </w:r>
      <w:proofErr w:type="spellStart"/>
      <w:r w:rsidRPr="000F3293">
        <w:t>επικοινωνείται</w:t>
      </w:r>
      <w:proofErr w:type="spellEnd"/>
      <w:r w:rsidRPr="000F3293">
        <w:t xml:space="preserve"> ως αποκατάσταση ενός συγκεκριμένου μνημειακού συνόλου και όχι ως «αφαίρεση» από τις συλλογές γενικά. Η συζήτηση, επομένως, μετατρέπεται σε αγώνα ορισμού του πραγματικού </w:t>
      </w:r>
      <w:proofErr w:type="spellStart"/>
      <w:r w:rsidRPr="000F3293">
        <w:t>διακυβεύματος</w:t>
      </w:r>
      <w:proofErr w:type="spellEnd"/>
      <w:r w:rsidRPr="000F3293">
        <w:t xml:space="preserve">: οι υποστηρικτές του Παγκόσμιου Μουσείου επιδιώκουν να πείσουν ότι το </w:t>
      </w:r>
      <w:proofErr w:type="spellStart"/>
      <w:r w:rsidRPr="000F3293">
        <w:t>διακύβευμα</w:t>
      </w:r>
      <w:proofErr w:type="spellEnd"/>
      <w:r w:rsidRPr="000F3293">
        <w:t xml:space="preserve"> είναι η θεσμική σταθερότητα και η οικουμενική πρόσβαση, ενώ οι υποστηρικτές της επανένωσης επιδιώκουν να πείσουν ότι το </w:t>
      </w:r>
      <w:proofErr w:type="spellStart"/>
      <w:r w:rsidRPr="000F3293">
        <w:t>διακύβευμα</w:t>
      </w:r>
      <w:proofErr w:type="spellEnd"/>
      <w:r w:rsidRPr="000F3293">
        <w:t xml:space="preserve"> είναι η ακεραιότητα, το </w:t>
      </w:r>
      <w:proofErr w:type="spellStart"/>
      <w:r w:rsidRPr="000F3293">
        <w:t>συμφραζόμενο</w:t>
      </w:r>
      <w:proofErr w:type="spellEnd"/>
      <w:r w:rsidRPr="000F3293">
        <w:t xml:space="preserve"> και η ηθική αποκατάσταση (</w:t>
      </w:r>
      <w:r w:rsidRPr="000F3293">
        <w:rPr>
          <w:lang w:val="en-US"/>
        </w:rPr>
        <w:t>MacGregor</w:t>
      </w:r>
      <w:r w:rsidRPr="000F3293">
        <w:t xml:space="preserve">, 2009, </w:t>
      </w:r>
      <w:r w:rsidRPr="000F3293">
        <w:rPr>
          <w:lang w:val="en-US"/>
        </w:rPr>
        <w:t>Cuno</w:t>
      </w:r>
      <w:r w:rsidRPr="000F3293">
        <w:t xml:space="preserve">, 2011, </w:t>
      </w:r>
      <w:proofErr w:type="spellStart"/>
      <w:r w:rsidRPr="000F3293">
        <w:rPr>
          <w:lang w:val="en-US"/>
        </w:rPr>
        <w:t>Stamatoudi</w:t>
      </w:r>
      <w:proofErr w:type="spellEnd"/>
      <w:r w:rsidRPr="000F3293">
        <w:t>, 2022).</w:t>
      </w:r>
    </w:p>
    <w:p w14:paraId="5C8A188C" w14:textId="77777777" w:rsidR="0024367C" w:rsidRPr="000F3293" w:rsidRDefault="0024367C" w:rsidP="0024367C">
      <w:pPr>
        <w:pStyle w:val="Web"/>
        <w:spacing w:line="360" w:lineRule="auto"/>
        <w:ind w:firstLine="720"/>
        <w:jc w:val="both"/>
      </w:pPr>
      <w:r w:rsidRPr="000F3293">
        <w:t xml:space="preserve">Αυτή η αντιπαράθεση πλαισίων εξηγεί γιατί η κοινή γνώμη και οι καμπάνιες δεν είναι δευτερεύον στοιχείο αλλά κεντρικό πεδίο του ζητήματος. Όσο η υπόθεση δεν επιλύεται με δεσμευτικό νομικό μηχανισμό, η νομιμοποίηση διαμορφώνεται μέσα από αφηγήματα που απευθύνονται στο ευρύ κοινό και στους πολιτικούς φορείς. Η </w:t>
      </w:r>
      <w:proofErr w:type="spellStart"/>
      <w:r w:rsidRPr="000F3293">
        <w:rPr>
          <w:lang w:val="en-US"/>
        </w:rPr>
        <w:t>Kersel</w:t>
      </w:r>
      <w:proofErr w:type="spellEnd"/>
      <w:r w:rsidRPr="000F3293">
        <w:t xml:space="preserve"> δείχνει ότι η κληρονομιά «καταναλώνεται» ως συμβολική αξία, και αυτό σημαίνει ότι οι αντιπαραθέσεις οργανώνονται όχι μόνο με τεκμήρια αλλά και με πειστικές ιστορίες, όπου η οικουμενικότητα, η επιμέλεια, ο φόβος προηγούμενου και η επανένωση λειτουργούν ως γλώσσες κινητοποίησης και άμυνας (</w:t>
      </w:r>
      <w:proofErr w:type="spellStart"/>
      <w:r w:rsidRPr="000F3293">
        <w:rPr>
          <w:lang w:val="en-US"/>
        </w:rPr>
        <w:t>Kersel</w:t>
      </w:r>
      <w:proofErr w:type="spellEnd"/>
      <w:r w:rsidRPr="000F3293">
        <w:t>, 2004).</w:t>
      </w:r>
    </w:p>
    <w:p w14:paraId="38DC8941" w14:textId="77777777" w:rsidR="00F565CA" w:rsidRPr="000F3293" w:rsidRDefault="00F565CA" w:rsidP="001358B2">
      <w:pPr>
        <w:pStyle w:val="1"/>
      </w:pPr>
      <w:bookmarkStart w:id="26" w:name="_Toc233154578"/>
      <w:r w:rsidRPr="000F3293">
        <w:t>2.5 Διδάγματα από διεθνείς υποθέσεις επαναπατρισμού</w:t>
      </w:r>
      <w:bookmarkEnd w:id="26"/>
      <w:r w:rsidRPr="000F3293">
        <w:t xml:space="preserve"> </w:t>
      </w:r>
    </w:p>
    <w:p w14:paraId="7F8A46A5" w14:textId="77777777" w:rsidR="00F565CA" w:rsidRPr="000F3293" w:rsidRDefault="00F565CA" w:rsidP="001358B2">
      <w:pPr>
        <w:pStyle w:val="1"/>
      </w:pPr>
      <w:bookmarkStart w:id="27" w:name="_Toc233154579"/>
      <w:r w:rsidRPr="000F3293">
        <w:t>2.5.1 Επιτυχημένες υποθέσεις</w:t>
      </w:r>
      <w:bookmarkEnd w:id="27"/>
      <w:r w:rsidRPr="000F3293">
        <w:t xml:space="preserve"> </w:t>
      </w:r>
    </w:p>
    <w:p w14:paraId="76C52571" w14:textId="77777777" w:rsidR="003F16C7" w:rsidRPr="000F3293" w:rsidRDefault="003F16C7" w:rsidP="00DF3F50">
      <w:pPr>
        <w:pStyle w:val="Web"/>
        <w:spacing w:line="360" w:lineRule="auto"/>
        <w:jc w:val="both"/>
      </w:pPr>
      <w:r w:rsidRPr="000F3293">
        <w:t xml:space="preserve">Η ιστορία του επαναπατρισμού πολιτιστικών αγαθών περιλαμβάνει αρκετές επιτυχημένες υποθέσεις που αναδεικνύουν τη σημασία της διεθνούς συνεργασίας και της πολιτιστικής διπλωματίας. Οι περιπτώσεις αυτές αποτελούν παραδείγματα όπου η πίεση της κοινής γνώμης, η πολιτική βούληση και το θεσμικό πλαίσιο συνδυάστηκαν αποτελεσματικά. Στην περίπτωση της </w:t>
      </w:r>
      <w:r w:rsidRPr="000F3293">
        <w:rPr>
          <w:rStyle w:val="a4"/>
          <w:b w:val="0"/>
          <w:bCs w:val="0"/>
        </w:rPr>
        <w:lastRenderedPageBreak/>
        <w:t>Αιγύπτου</w:t>
      </w:r>
      <w:r w:rsidRPr="000F3293">
        <w:t xml:space="preserve">, η επιστροφή της περίφημης προτομής της Νεφερτίτης παραμένει ανοιχτό ζήτημα, ωστόσο η χώρα έχει καταφέρει να </w:t>
      </w:r>
      <w:proofErr w:type="spellStart"/>
      <w:r w:rsidRPr="000F3293">
        <w:t>επαναπατρίσει</w:t>
      </w:r>
      <w:proofErr w:type="spellEnd"/>
      <w:r w:rsidRPr="000F3293">
        <w:t xml:space="preserve"> εκατοντάδες αντικείμενα από μουσεία και ιδιωτικές συλλογές. Το 2009, το Μουσείο του Λούβρου επέστρεψε πέντε κλεμμένα θραύσμα τοιχογραφιών που είχαν πουληθεί παράνομα σε αυτό, ενώ το 2010 οι Ηνωμένες Πολιτείες παρέδωσαν στην Αίγυπτο 19 αντικείμενα και πιο συγκεκριμένα 19 θραύσματα που προέρχονταν από τον τάφο του φαραώ </w:t>
      </w:r>
      <w:proofErr w:type="spellStart"/>
      <w:r w:rsidRPr="000F3293">
        <w:t>Τουταγχαμών</w:t>
      </w:r>
      <w:proofErr w:type="spellEnd"/>
      <w:r w:rsidRPr="000F3293">
        <w:t xml:space="preserve"> 5.000 (</w:t>
      </w:r>
      <w:r w:rsidRPr="000F3293">
        <w:rPr>
          <w:lang w:val="en-US"/>
        </w:rPr>
        <w:t>In</w:t>
      </w:r>
      <w:r w:rsidRPr="000F3293">
        <w:t>.</w:t>
      </w:r>
      <w:r w:rsidRPr="000F3293">
        <w:rPr>
          <w:lang w:val="en-US"/>
        </w:rPr>
        <w:t>gr</w:t>
      </w:r>
      <w:r w:rsidRPr="000F3293">
        <w:t>, 2010).</w:t>
      </w:r>
    </w:p>
    <w:p w14:paraId="043A69D9" w14:textId="77777777" w:rsidR="003F16C7" w:rsidRPr="000F3293" w:rsidRDefault="006D3087" w:rsidP="00DF3F50">
      <w:pPr>
        <w:pStyle w:val="Web"/>
        <w:spacing w:line="360" w:lineRule="auto"/>
        <w:jc w:val="both"/>
      </w:pPr>
      <w:r w:rsidRPr="000F3293">
        <w:tab/>
        <w:t xml:space="preserve">Οι </w:t>
      </w:r>
      <w:r w:rsidRPr="000F3293">
        <w:rPr>
          <w:rStyle w:val="a4"/>
          <w:b w:val="0"/>
          <w:bCs w:val="0"/>
        </w:rPr>
        <w:t>πολιτιστικοί θησαυροί των Μάγια</w:t>
      </w:r>
      <w:r w:rsidRPr="000F3293">
        <w:t xml:space="preserve"> αποτελούν επίσης χαρακτηριστικό παράδειγμα. Το Μεξικό έχει διεκδικήσει με επιτυχία την επιστροφή αντικειμένων που είχαν εξαχθεί κατά τον 19ο και 20ό αιώνα. Το 2012, η Γερμανία επέστρεψε σημαντικά τελετουργικά αντικείμενα των Μάγια, ενώ πρόσφατες συνεργασίες με μουσεία στις ΗΠΑ έχουν οδηγήσει σε εθελοντικές επιστροφές (</w:t>
      </w:r>
      <w:proofErr w:type="spellStart"/>
      <w:r w:rsidRPr="000F3293">
        <w:t>Meskell</w:t>
      </w:r>
      <w:proofErr w:type="spellEnd"/>
      <w:r w:rsidRPr="000F3293">
        <w:t xml:space="preserve">, 2018). Επιτυχίες έχουν σημειωθεί και σε άλλες χώρες. Η </w:t>
      </w:r>
      <w:r w:rsidRPr="000F3293">
        <w:rPr>
          <w:rStyle w:val="a4"/>
          <w:b w:val="0"/>
          <w:bCs w:val="0"/>
        </w:rPr>
        <w:t>Ιταλία</w:t>
      </w:r>
      <w:r w:rsidRPr="000F3293">
        <w:t xml:space="preserve"> έχει καταφέρει να </w:t>
      </w:r>
      <w:proofErr w:type="spellStart"/>
      <w:r w:rsidRPr="000F3293">
        <w:t>επαναπατρίσει</w:t>
      </w:r>
      <w:proofErr w:type="spellEnd"/>
      <w:r w:rsidRPr="000F3293">
        <w:t xml:space="preserve"> σημαντικά έργα τέχνης, όπως τον «</w:t>
      </w:r>
      <w:proofErr w:type="spellStart"/>
      <w:r w:rsidRPr="000F3293">
        <w:t>Ευφρονίο</w:t>
      </w:r>
      <w:proofErr w:type="spellEnd"/>
      <w:r w:rsidRPr="000F3293">
        <w:t xml:space="preserve"> Κρατήρα» από το Μητροπολιτικό Μουσείο της Νέας Υόρκης το 2008, έπειτα από μακρά διαπραγμάτευση (</w:t>
      </w:r>
      <w:proofErr w:type="spellStart"/>
      <w:r w:rsidRPr="000F3293">
        <w:t>Watson</w:t>
      </w:r>
      <w:proofErr w:type="spellEnd"/>
      <w:r w:rsidRPr="000F3293">
        <w:t xml:space="preserve"> &amp; </w:t>
      </w:r>
      <w:proofErr w:type="spellStart"/>
      <w:r w:rsidRPr="000F3293">
        <w:t>Todeschini</w:t>
      </w:r>
      <w:proofErr w:type="spellEnd"/>
      <w:r w:rsidRPr="000F3293">
        <w:t>, 2007</w:t>
      </w:r>
      <w:r w:rsidRPr="000F3293">
        <w:rPr>
          <w:lang w:val="tr-TR"/>
        </w:rPr>
        <w:t>,</w:t>
      </w:r>
      <w:r w:rsidRPr="000F3293">
        <w:t xml:space="preserve"> Πουρνάρα, 2009). Αντίστοιχα, η </w:t>
      </w:r>
      <w:r w:rsidRPr="000F3293">
        <w:rPr>
          <w:rStyle w:val="a4"/>
          <w:b w:val="0"/>
          <w:bCs w:val="0"/>
        </w:rPr>
        <w:t>Ελλάδα</w:t>
      </w:r>
      <w:r w:rsidRPr="000F3293">
        <w:t xml:space="preserve"> έχει πετύχει την επιστροφή αντικειμένων από ιδιωτικές συλλογές και μουσεία, όπως η επιστροφή αρχαιοτήτων από το Μουσείο </w:t>
      </w:r>
      <w:proofErr w:type="spellStart"/>
      <w:r w:rsidRPr="000F3293">
        <w:t>Getty</w:t>
      </w:r>
      <w:proofErr w:type="spellEnd"/>
      <w:r w:rsidRPr="000F3293">
        <w:t xml:space="preserve"> το 2007 (Πρεσβεία της Ελλάδας στο Παρίσι, 2012). Οι επιτυχημένες υποθέσεις δείχνουν ότι ο επαναπατρισμός είναι εφικτός όταν συνδυάζονται νομικά εργαλεία, πολιτική βούληση και διεθνής συνεργασία. Παρά τις δυσκολίες, οι περιπτώσεις αυτές ενισχύουν την πολιτιστική διπλωματία και δημιουργούν προηγούμενα που διευκολύνουν μελλοντικές διεκδικήσεις.</w:t>
      </w:r>
    </w:p>
    <w:p w14:paraId="4FFB5ECE" w14:textId="77777777" w:rsidR="00F565CA" w:rsidRPr="000F3293" w:rsidRDefault="00F565CA" w:rsidP="001358B2">
      <w:pPr>
        <w:pStyle w:val="1"/>
      </w:pPr>
      <w:bookmarkStart w:id="28" w:name="_Toc233154580"/>
      <w:r w:rsidRPr="000F3293">
        <w:t>2.5.2 Ανεπιτυχείς ή αμφιλεγόμενες υποθέσεις</w:t>
      </w:r>
      <w:bookmarkEnd w:id="28"/>
      <w:r w:rsidRPr="000F3293">
        <w:t xml:space="preserve"> </w:t>
      </w:r>
    </w:p>
    <w:p w14:paraId="7970EEC8" w14:textId="77777777" w:rsidR="003F16C7" w:rsidRPr="000F3293" w:rsidRDefault="003F16C7" w:rsidP="00DF3F50">
      <w:pPr>
        <w:pStyle w:val="Web"/>
        <w:spacing w:line="360" w:lineRule="auto"/>
        <w:jc w:val="both"/>
      </w:pPr>
      <w:r w:rsidRPr="000F3293">
        <w:t>Παρά τις επιτυχίες στον επαναπατρισμό πολιτιστικών αγαθών, υπάρχουν πολλές περιπτώσεις που παραμένουν ανεπίλυτες ή χαρακτηρίζονται από έντονες αντιπαραθέσεις. Οι υποθέσεις αυτές αναδεικνύουν τα όρια του διεθνούς δικαίου και τις δυσκολίες που προκύπτουν από την αρχή της μη αναδρομικότητας, τις πολιτικές αντιστάσεις και τις διαφορετικές ερμηνείες της νομιμότητας. Η πιο εμβληματική περίπτωση είναι τα</w:t>
      </w:r>
      <w:r w:rsidRPr="000F3293">
        <w:rPr>
          <w:rStyle w:val="a4"/>
          <w:b w:val="0"/>
          <w:bCs w:val="0"/>
        </w:rPr>
        <w:t xml:space="preserve"> Μάρμαρα του Παρθενώνα</w:t>
      </w:r>
      <w:r w:rsidRPr="000F3293">
        <w:t xml:space="preserve">, τα οποία εξακολουθούν να βρίσκονται στο Βρετανικό Μουσείο. Παρά τις πολυετείς διπλωματικές προσπάθειες της Ελλάδας και την ευρεία διεθνή υποστήριξη, η Βρετανία αρνείται την επιστροφή τους, επικαλούμενη την «νόμιμη» απόκτηση μέσω άδειας της Οθωμανικής Αυτοκρατορίας. Η </w:t>
      </w:r>
      <w:proofErr w:type="spellStart"/>
      <w:r w:rsidRPr="000F3293">
        <w:t>Greenfield</w:t>
      </w:r>
      <w:proofErr w:type="spellEnd"/>
      <w:r w:rsidRPr="000F3293">
        <w:t xml:space="preserve"> (2007) τονίζει </w:t>
      </w:r>
      <w:r w:rsidRPr="000F3293">
        <w:lastRenderedPageBreak/>
        <w:t xml:space="preserve">ότι η υπόθεση αυτή αποτελεί χαρακτηριστικό παράδειγμα όπου η μη αναδρομικότητα των διεθνών συμβάσεων εμποδίζει την εφαρμογή νομικών μηχανισμών. Αντίστοιχα, τα Μπρούντζινα του Μπενίν παραμένουν αντικείμενο αμφιλεγόμενων συζητήσεων. Παρά τις πρόσφατες επιστροφές από γερμανικά και βρετανικά ιδρύματα, μεγάλο μέρος της συλλογής εξακολουθεί να βρίσκεται σε ευρωπαϊκά μουσεία. Ο </w:t>
      </w:r>
      <w:proofErr w:type="spellStart"/>
      <w:r w:rsidRPr="000F3293">
        <w:t>Hicks</w:t>
      </w:r>
      <w:proofErr w:type="spellEnd"/>
      <w:r w:rsidRPr="000F3293">
        <w:t xml:space="preserve"> (2020) υποστηρίζει ότι η καθυστέρηση στην πλήρη επιστροφή οφείλεται σε πολιτικές αντιστάσεις και στον φόβο απώλειας σημαντικών εκθεμάτων. Άλλη αμφιλεγόμενη υπόθεση αφορά την </w:t>
      </w:r>
      <w:r w:rsidRPr="000F3293">
        <w:rPr>
          <w:rStyle w:val="a4"/>
          <w:b w:val="0"/>
          <w:bCs w:val="0"/>
        </w:rPr>
        <w:t>προτομή της Νεφερτίτης</w:t>
      </w:r>
      <w:r w:rsidRPr="000F3293">
        <w:t xml:space="preserve"> στο </w:t>
      </w:r>
      <w:proofErr w:type="spellStart"/>
      <w:r w:rsidRPr="000F3293">
        <w:t>Neues</w:t>
      </w:r>
      <w:proofErr w:type="spellEnd"/>
      <w:r w:rsidRPr="000F3293">
        <w:t xml:space="preserve"> </w:t>
      </w:r>
      <w:proofErr w:type="spellStart"/>
      <w:r w:rsidRPr="000F3293">
        <w:t>Museum</w:t>
      </w:r>
      <w:proofErr w:type="spellEnd"/>
      <w:r w:rsidRPr="000F3293">
        <w:t xml:space="preserve"> του Βερολίνου. Η Αίγυπτος διεκδικεί την επιστροφή της, υποστηρίζοντας ότι εξήχθη παράνομα στις αρχές του 20ού αιώνα, ενώ η Γερμανία αρνείται, επικαλούμενη την «νόμιμη» μεταφορά της (</w:t>
      </w:r>
      <w:r w:rsidRPr="000F3293">
        <w:rPr>
          <w:lang w:val="en-US"/>
        </w:rPr>
        <w:t>Hellas</w:t>
      </w:r>
      <w:r w:rsidRPr="000F3293">
        <w:t xml:space="preserve"> </w:t>
      </w:r>
      <w:r w:rsidRPr="000F3293">
        <w:rPr>
          <w:lang w:val="en-US"/>
        </w:rPr>
        <w:t>Journal</w:t>
      </w:r>
      <w:r w:rsidRPr="000F3293">
        <w:t>, 2024). Οι ανεπιτυχείς ή αμφιλεγόμενες υποθέσεις δείχνουν ότι ο επαναπατρισμός δεν είναι μόνο νομικό ζήτημα αλλά και πολιτικό και ηθικό. Η έλλειψη αναδρομικότητας, οι διαφορετικές ερμηνείες της νομιμότητας και οι πολιτικές αντιστάσεις καθιστούν πολλές διεκδικήσεις ανοιχτές, ενισχύοντας τη σημασία της δημόσιας πίεσης και της πολιτιστικής διπλωματίας.</w:t>
      </w:r>
    </w:p>
    <w:p w14:paraId="7C8568B6" w14:textId="77777777" w:rsidR="00F565CA" w:rsidRPr="000F3293" w:rsidRDefault="00F565CA" w:rsidP="001358B2">
      <w:pPr>
        <w:pStyle w:val="1"/>
      </w:pPr>
      <w:bookmarkStart w:id="29" w:name="_Toc233154581"/>
      <w:r w:rsidRPr="000F3293">
        <w:t>2.5.3 Παράγοντες επιτυχίας</w:t>
      </w:r>
      <w:bookmarkEnd w:id="29"/>
      <w:r w:rsidRPr="000F3293">
        <w:t xml:space="preserve"> </w:t>
      </w:r>
    </w:p>
    <w:p w14:paraId="250F0A46" w14:textId="77777777" w:rsidR="00BA3B8D" w:rsidRPr="000F3293" w:rsidRDefault="00FC30EF" w:rsidP="00DF3F50">
      <w:pPr>
        <w:pStyle w:val="Web"/>
        <w:spacing w:line="360" w:lineRule="auto"/>
        <w:jc w:val="both"/>
      </w:pPr>
      <w:r w:rsidRPr="000F3293">
        <w:t xml:space="preserve">Η επιτυχία στον επαναπατρισμό πολιτιστικών αγαθών εξαρτάται από ένα σύνολο παραγόντων που </w:t>
      </w:r>
      <w:proofErr w:type="spellStart"/>
      <w:r w:rsidRPr="000F3293">
        <w:t>αλληλεπιδρούν</w:t>
      </w:r>
      <w:proofErr w:type="spellEnd"/>
      <w:r w:rsidRPr="000F3293">
        <w:t xml:space="preserve"> μεταξύ τους και δημιουργούν τις προϋποθέσεις για θετικά αποτελέσματα. Πρώτος παράγοντας είναι η </w:t>
      </w:r>
      <w:r w:rsidRPr="000F3293">
        <w:rPr>
          <w:rStyle w:val="a4"/>
          <w:b w:val="0"/>
          <w:bCs w:val="0"/>
        </w:rPr>
        <w:t>διεθνής συνεργασία</w:t>
      </w:r>
      <w:r w:rsidRPr="000F3293">
        <w:t>. Χωρίς συνεργασία μεταξύ κρατών, μουσείων και διεθνών οργανισμών, οι διαδικασίες επαναπατρισμού παραμένουν ατελέσφορες. Η UNESCO και η UNIDROIT έχουν αναδείξει τη σημασία της συνεργασίας μέσα από διμερείς συμφωνίες, κοινές εκθέσεις και εθελοντικές επιστροφές (</w:t>
      </w:r>
      <w:proofErr w:type="spellStart"/>
      <w:r w:rsidRPr="000F3293">
        <w:t>Merryman</w:t>
      </w:r>
      <w:proofErr w:type="spellEnd"/>
      <w:r w:rsidRPr="000F3293">
        <w:t xml:space="preserve">, 2005). Η συνεργασία ενισχύει την εμπιστοσύνη και δημιουργεί ένα πλαίσιο αμοιβαίου σεβασμού. Δεύτερος παράγοντας είναι η </w:t>
      </w:r>
      <w:r w:rsidRPr="000F3293">
        <w:rPr>
          <w:rStyle w:val="a4"/>
          <w:b w:val="0"/>
          <w:bCs w:val="0"/>
        </w:rPr>
        <w:t>νομική βάση</w:t>
      </w:r>
      <w:r w:rsidRPr="000F3293">
        <w:t>. Η ύπαρξη σαφούς νομοθετικού πλαισίου, τόσο σε διεθνές όσο και σε εθνικό επίπεδο, παρέχει τα εργαλεία για την αποτελεσματική διεκδίκηση. Η Σύμβαση της UNESCO του 1970 και η Σύμβαση UNIDROIT του 1995 προσφέρουν μηχανισμούς που επιτρέπουν την επιστροφή κλεμμένων ή παράνομα εξαγόμενων αντικειμένων (</w:t>
      </w:r>
      <w:proofErr w:type="spellStart"/>
      <w:r w:rsidRPr="000F3293">
        <w:t>Forrest</w:t>
      </w:r>
      <w:proofErr w:type="spellEnd"/>
      <w:r w:rsidRPr="000F3293">
        <w:t>, 2010). Παράλληλα, οι εθνικές νομοθεσίες που κηρύσσουν τα αρχαιολογικά ευρήματα ως κρατική ιδιοκτησία ενισχύουν τις αξιώσεις επαναπατρισμού.</w:t>
      </w:r>
    </w:p>
    <w:p w14:paraId="4D09F885" w14:textId="77777777" w:rsidR="003F16C7" w:rsidRPr="000F3293" w:rsidRDefault="00BA3B8D" w:rsidP="007661D3">
      <w:pPr>
        <w:pStyle w:val="Web"/>
        <w:spacing w:line="360" w:lineRule="auto"/>
        <w:jc w:val="both"/>
      </w:pPr>
      <w:r w:rsidRPr="000F3293">
        <w:lastRenderedPageBreak/>
        <w:tab/>
        <w:t xml:space="preserve">Τρίτος παράγοντας είναι η </w:t>
      </w:r>
      <w:r w:rsidRPr="000F3293">
        <w:rPr>
          <w:rStyle w:val="a4"/>
          <w:b w:val="0"/>
          <w:bCs w:val="0"/>
        </w:rPr>
        <w:t>πίεση της κοινής γνώμης</w:t>
      </w:r>
      <w:r w:rsidRPr="000F3293">
        <w:t>. Η κοινωνική ευαισθητοποίηση και η διεθνής κατακραυγή συχνά οδηγούν σε επιστροφές ακόμη και όταν δεν υπάρχει νομική υποχρέωση. Η υπόθεση των Μπρούντζινων του Μπενίν δείχνει ότι η δημόσια πίεση μπορεί να αναγκάσει μεγάλα μουσεία να αλλάξουν στάση (</w:t>
      </w:r>
      <w:proofErr w:type="spellStart"/>
      <w:r w:rsidRPr="000F3293">
        <w:t>Savoy</w:t>
      </w:r>
      <w:proofErr w:type="spellEnd"/>
      <w:r w:rsidRPr="000F3293">
        <w:t>, 2022). Η κοινή γνώμη λειτουργεί ως ηθικός καταλύτης που υπερβαίνει τα νομικά εμπόδια. Προκύπτει λοιπόν πως η επιτυχία στον επαναπατρισμό οφείλεται στη σύζευξη συνεργασίας, νομικής βάσης και κοινωνικής πίεσης. Όταν οι τρεις αυτοί παράγοντες συνυπάρχουν, οι πιθανότητες επιστροφής πολιτιστικών αγαθών αυξάνονται σημαντικά.</w:t>
      </w:r>
    </w:p>
    <w:p w14:paraId="06CD3195" w14:textId="77777777" w:rsidR="00523A89" w:rsidRPr="000F3293" w:rsidRDefault="00523A89" w:rsidP="007661D3">
      <w:pPr>
        <w:pStyle w:val="Web"/>
        <w:spacing w:line="360" w:lineRule="auto"/>
        <w:jc w:val="both"/>
      </w:pPr>
    </w:p>
    <w:p w14:paraId="128FDF09" w14:textId="77777777" w:rsidR="00F565CA" w:rsidRPr="000F3293" w:rsidRDefault="00F565CA" w:rsidP="00DF3F50">
      <w:pPr>
        <w:spacing w:line="360" w:lineRule="auto"/>
        <w:jc w:val="both"/>
        <w:rPr>
          <w:rFonts w:cs="Times New Roman"/>
          <w:b/>
          <w:bCs/>
          <w:szCs w:val="24"/>
        </w:rPr>
      </w:pPr>
      <w:r w:rsidRPr="000F3293">
        <w:rPr>
          <w:rFonts w:cs="Times New Roman"/>
          <w:b/>
          <w:bCs/>
          <w:szCs w:val="24"/>
        </w:rPr>
        <w:t xml:space="preserve">2.5.4 Διδάγματα για Παρθενώνα και Μπενίν </w:t>
      </w:r>
    </w:p>
    <w:p w14:paraId="346C1225" w14:textId="77777777" w:rsidR="00FC30EF" w:rsidRPr="000F3293" w:rsidRDefault="00FC30EF" w:rsidP="00DF3F50">
      <w:pPr>
        <w:pStyle w:val="Web"/>
        <w:spacing w:line="360" w:lineRule="auto"/>
        <w:jc w:val="both"/>
      </w:pPr>
      <w:r w:rsidRPr="000F3293">
        <w:t xml:space="preserve">Οι υποθέσεις των Μαρμάρων του Παρθενώνα και των Μπρούντζινων του Μπενίν αποτελούν δύο από τα πιο εμβληματικά παραδείγματα διεκδίκησης επαναπατρισμού πολιτιστικών αγαθών. Παρά τις διαφορετικές ιστορικές συνθήκες, προσφέρουν σημαντικά διδάγματα για τη διεθνή πολιτιστική πολιτική και τη διαμόρφωση στρατηγικών επαναπατρισμού. Στην περίπτωση των Μαρμάρων του Παρθενώνα, το βασικό δίδαγμα είναι η σημασία της </w:t>
      </w:r>
      <w:r w:rsidRPr="000F3293">
        <w:rPr>
          <w:rStyle w:val="a4"/>
          <w:b w:val="0"/>
          <w:bCs w:val="0"/>
        </w:rPr>
        <w:t>μακροχρόνιας πολιτιστικής διπλωματίας</w:t>
      </w:r>
      <w:r w:rsidRPr="000F3293">
        <w:t>. Η Ελλάδα έχει επενδύσει σε εκστρατείες ενημέρωσης, διεθνείς συνεργασίες και την κατασκευή του Μουσείου Ακρόπολης ως ισχυρό επιχείρημα για την επιστροφή. Μέσα από την υπόθεση αυτή αναδείχθηκε ότι η δημόσια πίεση και η προβολή της πολιτιστικής ταυτότητας μπορούν να διατηρήσουν το ζήτημα ενεργό, ακόμη και όταν τα νομικά εργαλεία είναι περιορισμένα λόγω μη αναδρομικότητας (</w:t>
      </w:r>
      <w:proofErr w:type="spellStart"/>
      <w:r w:rsidRPr="000F3293">
        <w:rPr>
          <w:lang w:val="en-US"/>
        </w:rPr>
        <w:t>Stamatoudi</w:t>
      </w:r>
      <w:proofErr w:type="spellEnd"/>
      <w:r w:rsidRPr="000F3293">
        <w:t>, 2024).</w:t>
      </w:r>
    </w:p>
    <w:p w14:paraId="6CDAF9B5" w14:textId="77777777" w:rsidR="00221736" w:rsidRPr="000F3293" w:rsidRDefault="00000000" w:rsidP="001358B2">
      <w:pPr>
        <w:spacing w:line="360" w:lineRule="auto"/>
        <w:ind w:firstLine="720"/>
        <w:jc w:val="both"/>
      </w:pPr>
      <w:r w:rsidRPr="000F3293">
        <w:t>Το επιχείρημα αυτό αξίζει μεγαλύτερης προβολής, καθώς το ίδιο το κτίριο του Νέου Μουσείου Ακρόπολης λειτουργεί επικοινωνιακά ως διεκδίκηση. Η αίθουσα του Παρθενώνα στον τελευταίο όροφο σχεδιάστηκε ώστε να μπορεί, εν δυνάμει, να φιλοξενήσει σε ενιαία διάταξη τα αυθεντικά Γλυπτά που κατέχει το Βρετανικό Μουσείο, με άμεση οπτική σχέση προς τον βράχο της Ακρόπολης (</w:t>
      </w:r>
      <w:proofErr w:type="spellStart"/>
      <w:r w:rsidRPr="000F3293">
        <w:t>Fouseki</w:t>
      </w:r>
      <w:proofErr w:type="spellEnd"/>
      <w:r w:rsidRPr="000F3293">
        <w:t xml:space="preserve">, 2006). Παράλληλα, το ζήτημα του επαναπατρισμού προβάλλεται και στον δημόσιο χώρο της πόλης, χαρακτηριστικά στον σταθμό του μετρό «Ακρόπολη», όπου η γιγαντοαφίσα με τη μορφή της Μελίνας Μερκούρη υπενθυμίζει διαρκώς το αίτημα της </w:t>
      </w:r>
      <w:r w:rsidRPr="000F3293">
        <w:lastRenderedPageBreak/>
        <w:t>επανένωσης. Η κατασκευή του μουσείου, επομένως, δεν αποτελεί μόνο τεχνική απάντηση στο επιχείρημα της ανεπάρκειας υποδομών, αλλά και ισχυρό εργαλείο πολιτιστικής διπλωματίας και διαμόρφωσης κοινής γνώμης.</w:t>
      </w:r>
    </w:p>
    <w:p w14:paraId="3100DFEC" w14:textId="77777777" w:rsidR="00FC30EF" w:rsidRPr="000F3293" w:rsidRDefault="00A15EB8" w:rsidP="00B15498">
      <w:pPr>
        <w:pStyle w:val="Web"/>
        <w:spacing w:line="360" w:lineRule="auto"/>
        <w:jc w:val="both"/>
      </w:pPr>
      <w:r w:rsidRPr="000F3293">
        <w:tab/>
        <w:t xml:space="preserve">Όσον αφορά τα Μπρούντζινα του Μπενίν, αυτά προσφέρουν ένα διαφορετικό μάθημα: τη δύναμη της </w:t>
      </w:r>
      <w:r w:rsidRPr="000F3293">
        <w:rPr>
          <w:rStyle w:val="a4"/>
          <w:b w:val="0"/>
          <w:bCs w:val="0"/>
        </w:rPr>
        <w:t>διεθνούς κοινής γνώμης και της ηθικής πίεσης</w:t>
      </w:r>
      <w:r w:rsidRPr="000F3293">
        <w:t xml:space="preserve">. Η λεηλασία του 1897 δεν καλύπτεται από διεθνείς συμβάσεις, ωστόσο η κατακραυγή για το αποικιακό παρελθόν και η αλλαγή στάσης μεγάλων μουσείων οδήγησαν σε εθελοντικές επιστροφές. Ο </w:t>
      </w:r>
      <w:proofErr w:type="spellStart"/>
      <w:r w:rsidRPr="000F3293">
        <w:t>Hicks</w:t>
      </w:r>
      <w:proofErr w:type="spellEnd"/>
      <w:r w:rsidRPr="000F3293">
        <w:t xml:space="preserve"> (2020) τονίζει ότι η υπόθεση αυτή δείχνει πως η ηθική διάσταση μπορεί να υπερβεί τα νομικά εμπόδια, όταν η κοινωνία απαιτεί δικαιοσύνη. Αμφότερες οι περιπτώσεις καταδεικνύουν ότι ο επαναπατρισμός δεν είναι μόνο νομικό ζήτημα αλλά και </w:t>
      </w:r>
      <w:r w:rsidRPr="000F3293">
        <w:rPr>
          <w:rStyle w:val="a4"/>
          <w:b w:val="0"/>
          <w:bCs w:val="0"/>
        </w:rPr>
        <w:t>πολιτικό, ηθικό και επικοινωνιακό</w:t>
      </w:r>
      <w:r w:rsidRPr="000F3293">
        <w:t xml:space="preserve">. Η Ελλάδα και η Νιγηρία αξιοποίησαν διαφορετικά εργαλεία: η πρώτη επένδυσε στη διπλωματία και την πολιτιστική προβολή, ενώ η δεύτερη στη διεθνή πίεση και την αποδόμηση του αποικιακού αφηγήματος. Το δίδαγμα είναι σαφές: η επιτυχία στον επαναπατρισμό απαιτεί συνδυασμό </w:t>
      </w:r>
      <w:r w:rsidRPr="000F3293">
        <w:rPr>
          <w:rStyle w:val="a4"/>
          <w:b w:val="0"/>
          <w:bCs w:val="0"/>
        </w:rPr>
        <w:t>πολιτιστικής διπλωματίας, κοινωνικής πίεσης και στρατηγικής επικοινωνίας</w:t>
      </w:r>
      <w:r w:rsidRPr="000F3293">
        <w:t>, ώστε να υπερβεί τα όρια του διεθνούς δικαίου και να ενισχύσει την ηθική νομιμοποίηση των διεκδικήσεων.</w:t>
      </w:r>
    </w:p>
    <w:p w14:paraId="099B2958" w14:textId="77777777" w:rsidR="00DB698D" w:rsidRPr="000F3293" w:rsidRDefault="00DB698D" w:rsidP="00DB698D">
      <w:pPr>
        <w:pStyle w:val="Web"/>
        <w:spacing w:line="360" w:lineRule="auto"/>
        <w:jc w:val="both"/>
        <w:rPr>
          <w:b/>
          <w:bCs/>
        </w:rPr>
      </w:pPr>
      <w:r w:rsidRPr="000F3293">
        <w:rPr>
          <w:b/>
          <w:bCs/>
        </w:rPr>
        <w:t>2.5.5 Συγκριτική ανάγνωση Παρθενώνα και Μπενίν ως δύο διαφορετικά μοντέλα διεκδίκησης και διαχείρισης</w:t>
      </w:r>
    </w:p>
    <w:p w14:paraId="208DC8D2" w14:textId="77777777" w:rsidR="00DB698D" w:rsidRPr="000F3293" w:rsidRDefault="00DB698D" w:rsidP="00DB698D">
      <w:pPr>
        <w:pStyle w:val="Web"/>
        <w:spacing w:line="360" w:lineRule="auto"/>
        <w:jc w:val="both"/>
      </w:pPr>
      <w:r w:rsidRPr="000F3293">
        <w:t>Η σύγκριση της υπόθεσης των Γλυπτών του Παρθενώνα με τις πρόσφατες επιστροφές των Μπενίν αναδεικνύει δύο διαφορετικά μοντέλα διεκδίκησης και διαχείρισης, όχι μόνο ως προς το ιστορικό πλαίσιο απομάκρυνσης, αλλά κυρίως ως προς τα διαθέσιμα θεσμικά εργαλεία επίλυσης. Και στις δύο περιπτώσεις τα αντικείμενα λειτουργούν ως εμβληματικά σύμβολα, που συμπυκνώνουν ζητήματα ταυτότητας, δημόσιας ιστορίας και μουσειακής εξουσίας. Ωστόσο, η πορεία προς μια λύση καθορίζεται από το αν η διεκδίκηση μπορεί να μετατραπεί σε διαδικασία διακυβέρνησης με σαφή βήματα τεκμηρίωσης, λογοδοσίας και θεσμικής απόφασης, ή αν παραμένει πεδίο κατεξοχήν ηθικής και πολιτικής διαμεσολάβησης χωρίς αποτελεσματικό μηχανισμό μεταβίβασης κυριότητας (</w:t>
      </w:r>
      <w:proofErr w:type="spellStart"/>
      <w:r w:rsidRPr="000F3293">
        <w:rPr>
          <w:lang w:val="en-US"/>
        </w:rPr>
        <w:t>Stamatoudi</w:t>
      </w:r>
      <w:proofErr w:type="spellEnd"/>
      <w:r w:rsidRPr="000F3293">
        <w:t xml:space="preserve">, 2022, </w:t>
      </w:r>
      <w:r w:rsidRPr="000F3293">
        <w:rPr>
          <w:lang w:val="en-US"/>
        </w:rPr>
        <w:t>Merriman</w:t>
      </w:r>
      <w:r w:rsidRPr="000F3293">
        <w:t>, 2024).</w:t>
      </w:r>
    </w:p>
    <w:p w14:paraId="7A5DEE70" w14:textId="77777777" w:rsidR="00DB698D" w:rsidRPr="000F3293" w:rsidRDefault="00DB698D" w:rsidP="00DB698D">
      <w:pPr>
        <w:pStyle w:val="Web"/>
        <w:spacing w:line="360" w:lineRule="auto"/>
        <w:ind w:firstLine="720"/>
        <w:jc w:val="both"/>
      </w:pPr>
      <w:r w:rsidRPr="000F3293">
        <w:lastRenderedPageBreak/>
        <w:t xml:space="preserve">Στην υπόθεση του Παρθενώνα, η απομάκρυνση των Γλυπτών στις αρχές του 19ου αιώνα δημιουργεί μια δομική ασυμμετρία μεταξύ του ιστορικού γεγονότος και των μεταγενέστερων διεθνών ρυθμίσεων. Η </w:t>
      </w:r>
      <w:proofErr w:type="spellStart"/>
      <w:r w:rsidRPr="000F3293">
        <w:t>Σταματούδη</w:t>
      </w:r>
      <w:proofErr w:type="spellEnd"/>
      <w:r w:rsidRPr="000F3293">
        <w:t xml:space="preserve"> δείχνει ότι, λόγω μη αναδρομικότητας και λόγω του τρόπου με τον οποίο έχουν διαμορφωθεί οι αρμοδιότητες και οι περιορισμοί των διαχειριστών του Βρετανικού Μουσείου, η επιστροφή δεν εμφανίζεται ως τυπικά επιβαλλόμενη νομική υποχρέωση, αλλά ως αντικείμενο πολιτικής βούλησης, ερμηνείας και διαπραγμάτευσης. Στο πλαίσιο αυτό, τα επιχειρήματα ανακυκλώνονται σε τρεις άξονες. Πρώτον, στο επιχείρημα της νόμιμης κτήσης με βάση το δίκαιο και τις συνθήκες της εποχής. Δεύτερον, στο επιχείρημα θεσμικών νομικών περιορισμών, που παρουσιάζονται ως εμπόδιο διάθεσης της συλλογής. Τρίτον, στο επιχείρημα του οικουμενικού μουσείου, ως αφήγημα δημόσιου οφέλους που υπερβαίνει τον τόπο προέλευσης (</w:t>
      </w:r>
      <w:proofErr w:type="spellStart"/>
      <w:r w:rsidRPr="000F3293">
        <w:rPr>
          <w:lang w:val="en-US"/>
        </w:rPr>
        <w:t>Stamatoudi</w:t>
      </w:r>
      <w:proofErr w:type="spellEnd"/>
      <w:r w:rsidRPr="000F3293">
        <w:t xml:space="preserve">, 2022). Η ελληνική πλευρά, αντίστοιχα, μετατοπίζει το κέντρο βάρους στην ακεραιότητα του μνημείου, στη σημασία του </w:t>
      </w:r>
      <w:proofErr w:type="spellStart"/>
      <w:r w:rsidRPr="000F3293">
        <w:t>συμφραζομένου</w:t>
      </w:r>
      <w:proofErr w:type="spellEnd"/>
      <w:r w:rsidRPr="000F3293">
        <w:t xml:space="preserve"> και στην αναγκαιότητα επανένωσης, δηλαδή σε μια λογική αποκατάστασης της ενότητας του Παρθενώνα ως ενός μοναδικού συνόλου, όπου τα τμήματα έχουν νόημα πρωτίστως σε σχέση με το μνημείο και τον τόπο τους (</w:t>
      </w:r>
      <w:proofErr w:type="spellStart"/>
      <w:r w:rsidRPr="000F3293">
        <w:rPr>
          <w:lang w:val="en-US"/>
        </w:rPr>
        <w:t>Stamatoudi</w:t>
      </w:r>
      <w:proofErr w:type="spellEnd"/>
      <w:r w:rsidRPr="000F3293">
        <w:t>, 2022).</w:t>
      </w:r>
    </w:p>
    <w:p w14:paraId="009129D7" w14:textId="77777777" w:rsidR="00DB698D" w:rsidRPr="000F3293" w:rsidRDefault="00DB698D" w:rsidP="00DB698D">
      <w:pPr>
        <w:pStyle w:val="Web"/>
        <w:spacing w:line="360" w:lineRule="auto"/>
        <w:ind w:firstLine="720"/>
        <w:jc w:val="both"/>
      </w:pPr>
      <w:r w:rsidRPr="000F3293">
        <w:t xml:space="preserve">Ακριβώς επειδή η υπόθεση δεν «κλειδώνει» σε ένα δεσμευτικό νομικό μονοπάτι, ο χώρος δράσης μετατοπίζεται στη διαμεσολάβηση. Η </w:t>
      </w:r>
      <w:proofErr w:type="spellStart"/>
      <w:r w:rsidRPr="000F3293">
        <w:t>Σταματούδη</w:t>
      </w:r>
      <w:proofErr w:type="spellEnd"/>
      <w:r w:rsidRPr="000F3293">
        <w:t xml:space="preserve"> καταγράφει τον ρόλο μηχανισμών όπως η </w:t>
      </w:r>
      <w:r w:rsidRPr="000F3293">
        <w:rPr>
          <w:lang w:val="en-US"/>
        </w:rPr>
        <w:t>UNESCO</w:t>
      </w:r>
      <w:r w:rsidRPr="000F3293">
        <w:t xml:space="preserve"> και τις επανειλημμένες προσπάθειες προσέγγισης μέσω διαλόγου, χωρίς όμως να προκύπτει ένα τυποποιημένο πρωτόκολλο που να οδηγεί από τη διεκδίκηση στην εκτέλεση της επιστροφής. Ακόμη και όταν προτείνονται πρακτικές λύσεις, όπως μορφές μακροχρόνιου δανεισμού, αυτές προσκρούουν στο πρόβλημα της αναγνώρισης κυριότητας, επειδή ο δανεισμός ενέχει, έστω και έμμεσα, αποδοχή τίτλου από τον δανειστή, κάτι που για την ελληνική πλευρά αλλοιώνει το ίδιο το αίτημα επανένωσης και αποκατάστασης (</w:t>
      </w:r>
      <w:proofErr w:type="spellStart"/>
      <w:r w:rsidRPr="000F3293">
        <w:rPr>
          <w:lang w:val="en-US"/>
        </w:rPr>
        <w:t>Stamatoudi</w:t>
      </w:r>
      <w:proofErr w:type="spellEnd"/>
      <w:r w:rsidRPr="000F3293">
        <w:t>, 2022). Συνεπώς, το μοντέλο Παρθενώνα καταλήγει να χαρακτηρίζεται από έντονη συμβολική ένταση, σταθερή διπλωματική κινητικότητα και υψηλή προβολή, αλλά περιορισμένη θεσμική μετατρεψιμότητα του αιτήματος σε πράξη επιστροφής.</w:t>
      </w:r>
    </w:p>
    <w:p w14:paraId="5BFEC6FD" w14:textId="77777777" w:rsidR="00DB698D" w:rsidRPr="000F3293" w:rsidRDefault="00DB698D" w:rsidP="00DB698D">
      <w:pPr>
        <w:pStyle w:val="Web"/>
        <w:spacing w:line="360" w:lineRule="auto"/>
        <w:ind w:firstLine="720"/>
        <w:jc w:val="both"/>
      </w:pPr>
      <w:r w:rsidRPr="000F3293">
        <w:t xml:space="preserve">Αντίθετα, το μοντέλο Μπενίν, όπως το παρουσιάζει ο </w:t>
      </w:r>
      <w:r w:rsidRPr="000F3293">
        <w:rPr>
          <w:lang w:val="en-US"/>
        </w:rPr>
        <w:t>Merriman</w:t>
      </w:r>
      <w:r w:rsidRPr="000F3293">
        <w:t xml:space="preserve"> μέσα από τη μελέτη περίπτωσης του </w:t>
      </w:r>
      <w:r w:rsidRPr="000F3293">
        <w:rPr>
          <w:lang w:val="en-US"/>
        </w:rPr>
        <w:t>Horniman</w:t>
      </w:r>
      <w:r w:rsidRPr="000F3293">
        <w:t xml:space="preserve"> </w:t>
      </w:r>
      <w:r w:rsidRPr="000F3293">
        <w:rPr>
          <w:lang w:val="en-US"/>
        </w:rPr>
        <w:t>Museum</w:t>
      </w:r>
      <w:r w:rsidRPr="000F3293">
        <w:t xml:space="preserve"> </w:t>
      </w:r>
      <w:r w:rsidRPr="000F3293">
        <w:rPr>
          <w:lang w:val="en-US"/>
        </w:rPr>
        <w:t>and</w:t>
      </w:r>
      <w:r w:rsidRPr="000F3293">
        <w:t xml:space="preserve"> </w:t>
      </w:r>
      <w:r w:rsidRPr="000F3293">
        <w:rPr>
          <w:lang w:val="en-US"/>
        </w:rPr>
        <w:t>Gardens</w:t>
      </w:r>
      <w:r w:rsidRPr="000F3293">
        <w:t xml:space="preserve">, αναδεικνύει μια διαδρομή που μπορεί να </w:t>
      </w:r>
      <w:proofErr w:type="spellStart"/>
      <w:r w:rsidRPr="000F3293">
        <w:t>περιγραφεί</w:t>
      </w:r>
      <w:proofErr w:type="spellEnd"/>
      <w:r w:rsidRPr="000F3293">
        <w:t xml:space="preserve"> ως διαδικαστική διακυβέρνηση επιστροφής. Η κρίσιμη διαφορά είναι ότι η διεκδίκηση </w:t>
      </w:r>
      <w:r w:rsidRPr="000F3293">
        <w:lastRenderedPageBreak/>
        <w:t xml:space="preserve">συνδέεται με ένα γεγονός λεηλασίας που αναγνωρίζεται ως ιστορικά βίαιο και συστηματικό, και άρα η ηθική διάσταση τείνει να μεταφράζεται ευκολότερα σε θεσμική απόφαση. Στο παράδειγμα του </w:t>
      </w:r>
      <w:r w:rsidRPr="000F3293">
        <w:rPr>
          <w:lang w:val="en-US"/>
        </w:rPr>
        <w:t>Horniman</w:t>
      </w:r>
      <w:r w:rsidRPr="000F3293">
        <w:t xml:space="preserve">, η διαδικασία δεν περιορίζεται σε μια δημόσια δήλωση προθέσεων. Ο </w:t>
      </w:r>
      <w:r w:rsidRPr="000F3293">
        <w:rPr>
          <w:lang w:val="en-US"/>
        </w:rPr>
        <w:t>Merriman</w:t>
      </w:r>
      <w:r w:rsidRPr="000F3293">
        <w:t xml:space="preserve"> δείχνει ότι προηγείται αναλυτική τεκμηρίωση προέλευσης και ιστορίας κτήσης, ακολουθεί αξιολόγηση των νομικών και διοικητικών εξουσιών διάθεσης, και στη συνέχεια ενεργοποιούνται μηχανισμοί εσωτερικής λογοδοσίας, καθώς πρόκειται για ίδρυμα με ειδικό καθεστώς και συγκεκριμένες υποχρεώσεις διαχείρισης συλλογών (</w:t>
      </w:r>
      <w:r w:rsidRPr="000F3293">
        <w:rPr>
          <w:lang w:val="en-US"/>
        </w:rPr>
        <w:t>Merriman</w:t>
      </w:r>
      <w:r w:rsidRPr="000F3293">
        <w:t>, 2024).</w:t>
      </w:r>
    </w:p>
    <w:p w14:paraId="5824C65B" w14:textId="77777777" w:rsidR="00DB698D" w:rsidRPr="000F3293" w:rsidRDefault="00DB698D" w:rsidP="00DB698D">
      <w:pPr>
        <w:pStyle w:val="Web"/>
        <w:spacing w:line="360" w:lineRule="auto"/>
        <w:ind w:firstLine="720"/>
        <w:jc w:val="both"/>
      </w:pPr>
      <w:r w:rsidRPr="000F3293">
        <w:t xml:space="preserve">Το στοιχείο που παράγει ιδιαίτερη προστιθέμενη αξία ως «εργαλείο» είναι η έμφαση στη διακυβέρνηση. Ο </w:t>
      </w:r>
      <w:r w:rsidRPr="000F3293">
        <w:rPr>
          <w:lang w:val="en-US"/>
        </w:rPr>
        <w:t>Merriman</w:t>
      </w:r>
      <w:r w:rsidRPr="000F3293">
        <w:t xml:space="preserve"> αναλύει ότι οι </w:t>
      </w:r>
      <w:r w:rsidRPr="000F3293">
        <w:rPr>
          <w:lang w:val="en-US"/>
        </w:rPr>
        <w:t>trustees</w:t>
      </w:r>
      <w:r w:rsidRPr="000F3293">
        <w:t xml:space="preserve"> οφείλουν να λειτουργούν με όρους δημόσιου οφέλους, συμμόρφωσης με το κανονιστικό πλαίσιο και υπεύθυνης διαχείρισης πόρων, ενώ η </w:t>
      </w:r>
      <w:r w:rsidRPr="000F3293">
        <w:rPr>
          <w:lang w:val="en-US"/>
        </w:rPr>
        <w:t>Charity</w:t>
      </w:r>
      <w:r w:rsidRPr="000F3293">
        <w:t xml:space="preserve"> </w:t>
      </w:r>
      <w:r w:rsidRPr="000F3293">
        <w:rPr>
          <w:lang w:val="en-US"/>
        </w:rPr>
        <w:t>Commission</w:t>
      </w:r>
      <w:r w:rsidRPr="000F3293">
        <w:t xml:space="preserve"> λειτουργεί ως ρυθμιστής που ελέγχει τη νομιμότητα και τη δικαιολογητική βάση μιας διάθεσης. Έτσι, η επιστροφή μετατρέπεται σε ακολουθία ελέγξιμων βημάτων: εσωτερική απόφαση, νομική επεξεργασία, ρυθμιστική εποπτεία, μεταβίβαση τίτλου, και τελικά υλική παράδοση αντικειμένων. Στο συγκεκριμένο παράδειγμα, τεκμηριώνεται η υπογραφή εγγράφων μεταβίβασης κυριότητας για συνολικά 72 αντικείμενα προς τη </w:t>
      </w:r>
      <w:r w:rsidRPr="000F3293">
        <w:rPr>
          <w:lang w:val="en-US"/>
        </w:rPr>
        <w:t>National</w:t>
      </w:r>
      <w:r w:rsidRPr="000F3293">
        <w:t xml:space="preserve"> </w:t>
      </w:r>
      <w:r w:rsidRPr="000F3293">
        <w:rPr>
          <w:lang w:val="en-US"/>
        </w:rPr>
        <w:t>Commission</w:t>
      </w:r>
      <w:r w:rsidRPr="000F3293">
        <w:t xml:space="preserve"> </w:t>
      </w:r>
      <w:r w:rsidRPr="000F3293">
        <w:rPr>
          <w:lang w:val="en-US"/>
        </w:rPr>
        <w:t>for</w:t>
      </w:r>
      <w:r w:rsidRPr="000F3293">
        <w:t xml:space="preserve"> </w:t>
      </w:r>
      <w:r w:rsidRPr="000F3293">
        <w:rPr>
          <w:lang w:val="en-US"/>
        </w:rPr>
        <w:t>Museums</w:t>
      </w:r>
      <w:r w:rsidRPr="000F3293">
        <w:t xml:space="preserve"> </w:t>
      </w:r>
      <w:r w:rsidRPr="000F3293">
        <w:rPr>
          <w:lang w:val="en-US"/>
        </w:rPr>
        <w:t>and</w:t>
      </w:r>
      <w:r w:rsidRPr="000F3293">
        <w:t xml:space="preserve"> </w:t>
      </w:r>
      <w:r w:rsidRPr="000F3293">
        <w:rPr>
          <w:lang w:val="en-US"/>
        </w:rPr>
        <w:t>Monuments</w:t>
      </w:r>
      <w:r w:rsidRPr="000F3293">
        <w:t xml:space="preserve"> της Νιγηρίας, με επιστροφή αντικειμένων στη Νιγηρία τον Νοέμβριο 2022, γεγονός που καταγράφεται ως κορύφωση μιας σύνθετης θεσμικής διαδικασίας και όχι ως αποσπασματική χειρονομία (</w:t>
      </w:r>
      <w:r w:rsidRPr="000F3293">
        <w:rPr>
          <w:lang w:val="en-US"/>
        </w:rPr>
        <w:t>Merriman</w:t>
      </w:r>
      <w:r w:rsidRPr="000F3293">
        <w:t>, 2024).</w:t>
      </w:r>
    </w:p>
    <w:p w14:paraId="15DA6C53" w14:textId="77777777" w:rsidR="00DB698D" w:rsidRPr="000F3293" w:rsidRDefault="00DB698D" w:rsidP="00DB698D">
      <w:pPr>
        <w:pStyle w:val="Web"/>
        <w:spacing w:line="360" w:lineRule="auto"/>
        <w:ind w:firstLine="720"/>
        <w:jc w:val="both"/>
      </w:pPr>
      <w:r w:rsidRPr="000F3293">
        <w:t xml:space="preserve">Ιδιαίτερα σημαντική είναι και η διάσταση της διαβούλευσης. Ο </w:t>
      </w:r>
      <w:r w:rsidRPr="000F3293">
        <w:rPr>
          <w:lang w:val="en-US"/>
        </w:rPr>
        <w:t>Merriman</w:t>
      </w:r>
      <w:r w:rsidRPr="000F3293">
        <w:t xml:space="preserve"> περιγράφει ότι το κρίσιμο ερώτημα δεν ήταν αν πρέπει να επιστραφούν τα αντικείμενα, αλλά πώς. Η διαδικασία εμπλέκει συνομιλία με κοινότητες και ενδιαφερόμενα μέρη, αναγνωρίζοντας ότι η επιστροφή δεν είναι απλώς διοικητική μεταφορά αλλά και αποκατάσταση σχέσεων εμπιστοσύνης. Μέσα από αυτή τη διαβούλευση αναδύεται και η λογική της επιστροφής δανείου, ως πιθανή δεύτερη φάση μετά την επιστροφή κυριότητας. Η καίρια λεπτομέρεια είναι η χρονική σειρά: η συζήτηση για δανεισμό προς το μουσείο υποδοχής θεωρείται θεμιτή μόνο αφού έχει αποκατασταθεί η κυριότητα και έχει αρθεί η ασυμμετρία ισχύος που συνοδεύει την κατοχή (</w:t>
      </w:r>
      <w:r w:rsidRPr="000F3293">
        <w:rPr>
          <w:lang w:val="en-US"/>
        </w:rPr>
        <w:t>Merriman</w:t>
      </w:r>
      <w:r w:rsidRPr="000F3293">
        <w:t>, 2024). Με αυτό τον τρόπο, ο δανεισμός δεν λειτουργεί ως υποκατάστατο επιστροφής, αλλά ως εργαλείο συνεργασίας μετά την επιστροφή, που επιτρέπει να συνεχιστεί η εκπαιδευτική αποστολή του μουσείου χωρίς να συντηρείται η αρχική αδικία.</w:t>
      </w:r>
    </w:p>
    <w:p w14:paraId="777A68C4" w14:textId="77777777" w:rsidR="00DB698D" w:rsidRPr="000F3293" w:rsidRDefault="00DB698D" w:rsidP="00DB698D">
      <w:pPr>
        <w:pStyle w:val="Web"/>
        <w:spacing w:line="360" w:lineRule="auto"/>
        <w:ind w:firstLine="720"/>
        <w:jc w:val="both"/>
      </w:pPr>
      <w:r w:rsidRPr="000F3293">
        <w:lastRenderedPageBreak/>
        <w:t xml:space="preserve">Η σύγκριση, επομένως, αναδεικνύει δύο διαφορετικές λογικές επίλυσης. Στον Παρθενώνα, η βασική δυσκολία είναι ότι το αίτημα επανένωσης, όσο πειστικό και αν είναι στο επίπεδο του </w:t>
      </w:r>
      <w:proofErr w:type="spellStart"/>
      <w:r w:rsidRPr="000F3293">
        <w:t>συμφραζομένου</w:t>
      </w:r>
      <w:proofErr w:type="spellEnd"/>
      <w:r w:rsidRPr="000F3293">
        <w:t xml:space="preserve"> και της ακεραιότητας, παραμένει εγκλωβισμένο σε θεσμικά και νομοθετικά εμπόδια και σε ένα πλαίσιο όπου οι προτεινόμενες λύσεις τείνουν να παράγουν πρόβλημα αναγνώρισης κυριότητας, ιδίως όταν η λύση παίρνει τη μορφή δανεισμού (</w:t>
      </w:r>
      <w:proofErr w:type="spellStart"/>
      <w:r w:rsidRPr="000F3293">
        <w:rPr>
          <w:lang w:val="en-US"/>
        </w:rPr>
        <w:t>Stamatoudi</w:t>
      </w:r>
      <w:proofErr w:type="spellEnd"/>
      <w:r w:rsidRPr="000F3293">
        <w:t>, 2022). Στα Μπενίν, αντίθετα, η επιστροφή μπορεί να προχωρήσει μέσω ενός πλέγματος διακυβέρνησης, όπου η τεκμηρίωση προέλευσης, η ρυθμιστική εποπτεία, η διοικητική λογοδοσία και η μεταβίβαση τίτλου δημιουργούν ένα εφαρμόσιμο πρωτόκολλο, το οποίο δεν ακυρώνει τις ηθικές και πολιτικές διαστάσεις, αλλά τις μετατρέπει σε συγκεκριμένες διοικητικές πράξεις (</w:t>
      </w:r>
      <w:r w:rsidRPr="000F3293">
        <w:rPr>
          <w:lang w:val="en-US"/>
        </w:rPr>
        <w:t>Merriman</w:t>
      </w:r>
      <w:r w:rsidRPr="000F3293">
        <w:t>, 2024).</w:t>
      </w:r>
    </w:p>
    <w:p w14:paraId="2E122562" w14:textId="77777777" w:rsidR="00DB698D" w:rsidRPr="000F3293" w:rsidRDefault="00DB698D" w:rsidP="00DB698D">
      <w:pPr>
        <w:pStyle w:val="Web"/>
        <w:spacing w:line="360" w:lineRule="auto"/>
        <w:ind w:firstLine="720"/>
        <w:jc w:val="both"/>
      </w:pPr>
      <w:r w:rsidRPr="000F3293">
        <w:t>Σε επίπεδο πρακτικών συμπερασμάτων, το μοντέλο Μπενίν προσφέρει μια χρήσιμη «γέφυρα» για τη συζήτηση της πολιτιστικής διπλωματίας, επειδή δείχνει ότι η λύση δεν εξαρτάται μόνο από τη ρητορική των επιχειρημάτων, αλλά από την ύπαρξη εργαλείων που μπορούν να παράγουν μεταβολή κυριότητας με θεσμική ασφάλεια και κοινωνική νομιμοποίηση. Αντίστοιχα, η υπόθεση Παρθενώνα δείχνει ότι, όταν το θεσμικό πλαίσιο παραμένει άκαμπτο και όταν η διαπραγμάτευση συλλαμβάνεται ως παιχνίδι μηδενικού αθροίσματος, η διαδικασία τείνει να αναπαράγει τα ίδια επιχειρήματα, χωρίς να μετατρέπεται σε διακυβέρνηση λύσης. Η συγκριτική ανάγνωση δεν ισοπεδώνει τις ιδιαιτερότητες των δύο περιπτώσεων, αλλά τις καθιστά αναλυτικά παραγωγικές: ο Παρθενώνας αναδεικνύει τα όρια της διαμεσολάβησης χωρίς μεταβίβαση τίτλου, ενώ τα Μπενίν αναδεικνύουν πώς η επιστροφή μπορεί να οργανωθεί ως ελεγχόμενη θεσμική διαδικασία, που ανοίγει χώρο για μεταγενέστερη συνεργασία, συμπεριλαμβανομένου και του δανεισμού μετά την επιστροφή, ως μορφής νέας ισότιμης σχέσης (</w:t>
      </w:r>
      <w:proofErr w:type="spellStart"/>
      <w:r w:rsidRPr="000F3293">
        <w:rPr>
          <w:lang w:val="en-US"/>
        </w:rPr>
        <w:t>Stamatoudi</w:t>
      </w:r>
      <w:proofErr w:type="spellEnd"/>
      <w:r w:rsidRPr="000F3293">
        <w:t xml:space="preserve">, 2022, </w:t>
      </w:r>
      <w:r w:rsidRPr="000F3293">
        <w:rPr>
          <w:lang w:val="en-US"/>
        </w:rPr>
        <w:t>Merriman</w:t>
      </w:r>
      <w:r w:rsidRPr="000F3293">
        <w:t>, 2024).</w:t>
      </w:r>
    </w:p>
    <w:p w14:paraId="0930F5F3" w14:textId="77777777" w:rsidR="00F565CA" w:rsidRPr="000F3293" w:rsidRDefault="00F565CA" w:rsidP="001358B2">
      <w:pPr>
        <w:pStyle w:val="1"/>
      </w:pPr>
      <w:bookmarkStart w:id="30" w:name="_Toc233154582"/>
      <w:r w:rsidRPr="000F3293">
        <w:t>2.6 Συμπεράσματα ανασκόπησης</w:t>
      </w:r>
      <w:bookmarkEnd w:id="30"/>
      <w:r w:rsidRPr="000F3293">
        <w:t xml:space="preserve"> </w:t>
      </w:r>
    </w:p>
    <w:p w14:paraId="36581A7C" w14:textId="77777777" w:rsidR="00FC30EF" w:rsidRPr="000F3293" w:rsidRDefault="00FC30EF" w:rsidP="00DF3F50">
      <w:pPr>
        <w:pStyle w:val="Web"/>
        <w:spacing w:line="360" w:lineRule="auto"/>
        <w:jc w:val="both"/>
      </w:pPr>
      <w:r w:rsidRPr="000F3293">
        <w:t xml:space="preserve">Η ανασκόπηση των προηγούμενων κεφαλαίων ανέδειξε ένα πλούσιο πλέγμα θεωρητικών και πρακτικών ευρημάτων γύρω από το ζήτημα του επαναπατρισμού πολιτιστικών αγαθών και της πολιτιστικής διπλωματίας. Η σύνθεση αυτών των στοιχείων, η επισήμανση των κενών στη βιβλιογραφία και η σύνδεση με τα ερευνητικά ερωτήματα προσφέρουν μια ολοκληρωμένη εικόνα για την κατανόηση του φαινομένου και προετοιμάζουν το έδαφος για τη συγκριτική ανάλυση που </w:t>
      </w:r>
      <w:r w:rsidRPr="000F3293">
        <w:lastRenderedPageBreak/>
        <w:t xml:space="preserve">ακολουθεί. Ως προς τη σύνθεση θεωρητικών και πρακτικών ευρημάτων, η θεωρητική διερεύνηση ανέδειξε τρεις βασικούς άξονες: το διεθνές νομικό πλαίσιο, τη δημόσια επικοινωνία και τη διαμόρφωση κοινής γνώμης. Οι διεθνείς συμβάσεις (Χάγη 1954, UNESCO 1970, UNIDROIT 1995) προσφέρουν θεσμικά εργαλεία, αλλά η μη αναδρομικότητά τους περιορίζει την αποτελεσματικότητα σε ιστορικές περιπτώσεις όπως τα Μάρμαρα του Παρθενώνα. Παράλληλα, η δημόσια επικοινωνία μέσω ΜΜΕ και ψηφιακών </w:t>
      </w:r>
      <w:proofErr w:type="spellStart"/>
      <w:r w:rsidRPr="000F3293">
        <w:t>πλατφορμών</w:t>
      </w:r>
      <w:proofErr w:type="spellEnd"/>
      <w:r w:rsidRPr="000F3293">
        <w:t xml:space="preserve"> αναδείχθηκε ως κρίσιμος μηχανισμός ενίσχυσης της κοινωνικής πίεσης και νομιμοποίησης των διεκδικήσεων. Οι πρακτικές υποθέσεις (Αιγυπτιακά, Μάγια, Ιταλικά, Παρθενώνας, Μπενίν) έδειξαν ότι η επιτυχία εξαρτάται από τη σύζευξη νομικής βάσης, διεθνούς συνεργασίας και κοινωνικής πίεσης. Η πολιτιστική διπλωματία λειτουργεί ως εργαλείο «ήπιας ισχύος», ενισχύοντας την εικόνα των κρατών και προωθώντας τον επαναπατρισμό μέσω ηθικής νομιμοποίησης.</w:t>
      </w:r>
    </w:p>
    <w:p w14:paraId="6CFCCB27" w14:textId="77777777" w:rsidR="00FC30EF" w:rsidRPr="000F3293" w:rsidRDefault="00C2009E" w:rsidP="00DF3F50">
      <w:pPr>
        <w:pStyle w:val="Web"/>
        <w:spacing w:line="360" w:lineRule="auto"/>
        <w:jc w:val="both"/>
      </w:pPr>
      <w:r w:rsidRPr="000F3293">
        <w:rPr>
          <w:rStyle w:val="a4"/>
        </w:rPr>
        <w:tab/>
      </w:r>
      <w:r w:rsidRPr="000F3293">
        <w:rPr>
          <w:rStyle w:val="a4"/>
          <w:b w:val="0"/>
          <w:bCs w:val="0"/>
        </w:rPr>
        <w:t>Ως προς την επισήμανση των κενών στη βιβλιογραφία, προκύπτει ότι παρά</w:t>
      </w:r>
      <w:r w:rsidRPr="000F3293">
        <w:t xml:space="preserve"> την εκτενή βιβλιογραφία τα κενά που υπάρχουν ως προς το ζήτημα είναι σημαντικά. Πρώτον, η έρευνα επικεντρώνεται κυρίως σε εμβληματικές υποθέσεις, όπως τα Μάρμαρα του Παρθενώνα και τα Μπρούντζινα του Μπενίν, αφήνοντας λιγότερο μελετημένες άλλες περιπτώσεις επαναπατρισμού που θα μπορούσαν να προσφέρουν στη διεθνή βιβλιογραφία, ενισχύοντάς τη. Δεύτερον, η βιβλιογραφία συχνά περιορίζεται στη νομική διάσταση, παραμελώντας την ανάλυση της επικοινωνιακής στρατηγικής και της επιρροής των ψηφιακών μέσων στη διαμόρφωση κοινής γνώμης. Τρίτον, υπάρχει έλλειψη διεπιστημονικής προσέγγισης που να συνδυάζει νομική επιστήμη, επικοινωνία, πολιτιστική πολιτική και διεθνείς σχέσεις. Τέλος, η βιβλιογραφία δεν έχει εξετάσει επαρκώς τον ρόλο των νέων μορφών συμμετοχής του κοινού (π.χ. ψηφιακές καμπάνιες, κοινωνικά δίκτυα) ως καταλύτη για τον επαναπατρισμό.</w:t>
      </w:r>
    </w:p>
    <w:p w14:paraId="67F9582E" w14:textId="6ED0A6AB" w:rsidR="00F93263" w:rsidRPr="000F3293" w:rsidRDefault="00C2009E" w:rsidP="0043019D">
      <w:pPr>
        <w:pStyle w:val="Web"/>
        <w:spacing w:line="360" w:lineRule="auto"/>
        <w:jc w:val="both"/>
      </w:pPr>
      <w:r w:rsidRPr="000F3293">
        <w:rPr>
          <w:rStyle w:val="a4"/>
        </w:rPr>
        <w:tab/>
      </w:r>
      <w:r w:rsidRPr="000F3293">
        <w:t xml:space="preserve">Το ερευνητικό ερώτημα της παρούσας εργασίας αφορά τον τρόπο με τον οποίο η πολιτιστική διπλωματία, η δημόσια επικοινωνία και η κοινή γνώμη συνδυάζονται για να επηρεάσουν την επιτυχία ή την αποτυχία των διεκδικήσεων επαναπατρισμού. Η ανασκόπηση δείχνει ότι καμία διάσταση δεν επαρκεί από μόνη της: η νομική βάση χωρίς κοινωνική πίεση παραμένει αδύναμη, ενώ η δημόσια γνώμη χωρίς θεσμικό πλαίσιο δεν οδηγεί σε δεσμευτικά αποτελέσματα. Η συγκριτική ανάλυση που θα ακολουθήσει θα εξετάσει πώς διαφορετικά κράτη αξιοποίησαν αυτούς τους παράγοντες, με έμφαση στις περιπτώσεις των Μαρμάρων του </w:t>
      </w:r>
      <w:r w:rsidRPr="000F3293">
        <w:lastRenderedPageBreak/>
        <w:t>Παρθενώνα και των Μπρούντζινων του Μπενίν. Μέσα από αυτήν την προσέγγιση, θα αναδειχθούν οι στρατηγικές που μπορούν να ενισχύσουν τις διεκδικήσεις επαναπατρισμού και να προσφέρουν πρακτικά διδάγματα για το μέλλον. Συνολικά, αυτό που καταδεικνύεται είναι ότι ο επαναπατρισμός πολιτιστικών αγαθών είναι ένα πολυδιάστατο φαινόμενο, όπου οι θεωρητικές προσεγγίσεις συνδέονται άμεσα με τις πρακτικές εφαρμογές. Η σύνθεση ευρημάτων, η επισήμανση κενών και η σύνδεση με το ερευνητικό ερώτημα δημιουργούν το απαραίτητο υπόβαθρο για μια συγκριτική ανάλυση που θα φωτίσει τις προοπτικές και τις προκλήσεις του πεδίου.</w:t>
      </w:r>
    </w:p>
    <w:p w14:paraId="0DAA3164" w14:textId="77777777" w:rsidR="00E22724" w:rsidRPr="000F3293" w:rsidRDefault="00E22724" w:rsidP="0043019D">
      <w:pPr>
        <w:pStyle w:val="Web"/>
        <w:spacing w:line="360" w:lineRule="auto"/>
        <w:jc w:val="both"/>
      </w:pPr>
    </w:p>
    <w:p w14:paraId="0171ABF5" w14:textId="77777777" w:rsidR="00E22724" w:rsidRPr="000F3293" w:rsidRDefault="00E22724" w:rsidP="0043019D">
      <w:pPr>
        <w:pStyle w:val="Web"/>
        <w:spacing w:line="360" w:lineRule="auto"/>
        <w:jc w:val="both"/>
      </w:pPr>
    </w:p>
    <w:p w14:paraId="2041EFF6" w14:textId="77777777" w:rsidR="00E22724" w:rsidRPr="000F3293" w:rsidRDefault="00E22724" w:rsidP="0043019D">
      <w:pPr>
        <w:pStyle w:val="Web"/>
        <w:spacing w:line="360" w:lineRule="auto"/>
        <w:jc w:val="both"/>
      </w:pPr>
    </w:p>
    <w:p w14:paraId="7E6FF354" w14:textId="77777777" w:rsidR="00E22724" w:rsidRPr="000F3293" w:rsidRDefault="00E22724" w:rsidP="0043019D">
      <w:pPr>
        <w:pStyle w:val="Web"/>
        <w:spacing w:line="360" w:lineRule="auto"/>
        <w:jc w:val="both"/>
      </w:pPr>
    </w:p>
    <w:p w14:paraId="7D9E6764" w14:textId="221C938A" w:rsidR="000B0296" w:rsidRPr="000F3293" w:rsidRDefault="001358B2" w:rsidP="001358B2">
      <w:pPr>
        <w:pStyle w:val="1"/>
      </w:pPr>
      <w:bookmarkStart w:id="31" w:name="_Toc233154583"/>
      <w:r w:rsidRPr="000F3293">
        <w:t xml:space="preserve">Κεφάλαιο </w:t>
      </w:r>
      <w:r w:rsidR="00CF49B3" w:rsidRPr="000F3293">
        <w:t>3. Μουσεία ως μελέτες περίπτωσης επαναπατρισμού και επιστροφής</w:t>
      </w:r>
      <w:bookmarkEnd w:id="31"/>
    </w:p>
    <w:p w14:paraId="6FC11BEE" w14:textId="148A62CC" w:rsidR="000B0296" w:rsidRPr="000F3293" w:rsidRDefault="00CF49B3" w:rsidP="0043019D">
      <w:pPr>
        <w:pStyle w:val="2"/>
        <w:spacing w:after="120" w:line="360" w:lineRule="auto"/>
        <w:jc w:val="both"/>
        <w:rPr>
          <w:rFonts w:ascii="Times New Roman" w:hAnsi="Times New Roman" w:cs="Times New Roman"/>
          <w:b/>
          <w:bCs/>
          <w:color w:val="auto"/>
          <w:sz w:val="28"/>
          <w:szCs w:val="28"/>
        </w:rPr>
      </w:pPr>
      <w:bookmarkStart w:id="32" w:name="_Toc233154584"/>
      <w:r w:rsidRPr="000F3293">
        <w:rPr>
          <w:rFonts w:ascii="Times New Roman" w:hAnsi="Times New Roman" w:cs="Times New Roman"/>
          <w:b/>
          <w:bCs/>
          <w:color w:val="auto"/>
          <w:sz w:val="28"/>
          <w:szCs w:val="28"/>
        </w:rPr>
        <w:t>3.</w:t>
      </w:r>
      <w:r w:rsidR="001358B2" w:rsidRPr="000F3293">
        <w:rPr>
          <w:rFonts w:ascii="Times New Roman" w:hAnsi="Times New Roman" w:cs="Times New Roman"/>
          <w:b/>
          <w:bCs/>
          <w:color w:val="auto"/>
          <w:sz w:val="28"/>
          <w:szCs w:val="28"/>
        </w:rPr>
        <w:t>1</w:t>
      </w:r>
      <w:r w:rsidRPr="000F3293">
        <w:rPr>
          <w:rFonts w:ascii="Times New Roman" w:hAnsi="Times New Roman" w:cs="Times New Roman"/>
          <w:b/>
          <w:bCs/>
          <w:color w:val="auto"/>
          <w:sz w:val="28"/>
          <w:szCs w:val="28"/>
        </w:rPr>
        <w:t xml:space="preserve"> Μουσείο Ακρόπολης, το μουσείο υποδοχής και το επιχείρημα της επανένωσης</w:t>
      </w:r>
      <w:bookmarkEnd w:id="32"/>
    </w:p>
    <w:p w14:paraId="7D7436EB" w14:textId="77777777" w:rsidR="00F93263" w:rsidRPr="000F3293" w:rsidRDefault="00F93263" w:rsidP="00F93263">
      <w:pPr>
        <w:spacing w:after="120" w:line="360" w:lineRule="auto"/>
        <w:ind w:firstLine="720"/>
        <w:jc w:val="both"/>
        <w:rPr>
          <w:rFonts w:cs="Times New Roman"/>
        </w:rPr>
      </w:pPr>
      <w:r w:rsidRPr="000F3293">
        <w:rPr>
          <w:rFonts w:cs="Times New Roman"/>
        </w:rPr>
        <w:t xml:space="preserve">Το Μουσείο Ακρόπολης συνιστά μία ιδιότυπη αλλά απολύτως κεντρική μελέτη περίπτωσης στο πεδίο του επαναπατρισμού. Δεν είναι το μουσείο που κατέχει τα αμφισβητούμενα τμήματα του Παρθενώνα στο εξωτερικό, ούτε το μουσείο που αποφασίζει για τη διατήρησή τους σε μια παγκόσμια συλλογή. Είναι, όμως, ο θεσμός που συγκροτήθηκε ώστε να καταστήσει υλικά, </w:t>
      </w:r>
      <w:proofErr w:type="spellStart"/>
      <w:r w:rsidRPr="000F3293">
        <w:rPr>
          <w:rFonts w:cs="Times New Roman"/>
        </w:rPr>
        <w:t>μουσειολογικά</w:t>
      </w:r>
      <w:proofErr w:type="spellEnd"/>
      <w:r w:rsidRPr="000F3293">
        <w:rPr>
          <w:rFonts w:cs="Times New Roman"/>
        </w:rPr>
        <w:t xml:space="preserve"> και πολιτικά ορατή την αξίωση της επανένωσης. Με αυτή την έννοια, το Μουσείο Ακρόπολης δεν είναι απλώς τόπος έκθεσης. Είναι το ίδιο ένα επιχείρημα αποτυπωμένο στον χώρο, ένα χωρικό τεκμήριο που απαντά στις παλαιότερες θέσεις ότι η Ελλάδα δεν διαθέτει κατάλληλες υποδομές, επαρκές περιβάλλον συντήρησης ή συνεκτικό ερμηνευτικό πλαίσιο για την επανασύνδεση των γλυπτών με το μνημείο τους (</w:t>
      </w:r>
      <w:r w:rsidRPr="000F3293">
        <w:rPr>
          <w:rFonts w:cs="Times New Roman"/>
          <w:lang w:val="en-US"/>
        </w:rPr>
        <w:t>Gazi</w:t>
      </w:r>
      <w:r w:rsidRPr="000F3293">
        <w:rPr>
          <w:rFonts w:cs="Times New Roman"/>
        </w:rPr>
        <w:t xml:space="preserve">, 1990, </w:t>
      </w:r>
      <w:r w:rsidRPr="000F3293">
        <w:rPr>
          <w:rFonts w:cs="Times New Roman"/>
          <w:lang w:val="en-US"/>
        </w:rPr>
        <w:t>Greenfield</w:t>
      </w:r>
      <w:r w:rsidRPr="000F3293">
        <w:rPr>
          <w:rFonts w:cs="Times New Roman"/>
        </w:rPr>
        <w:t xml:space="preserve">, 2007, </w:t>
      </w:r>
      <w:proofErr w:type="spellStart"/>
      <w:r w:rsidRPr="000F3293">
        <w:rPr>
          <w:rFonts w:cs="Times New Roman"/>
          <w:lang w:val="en-US"/>
        </w:rPr>
        <w:t>Stamatoudi</w:t>
      </w:r>
      <w:proofErr w:type="spellEnd"/>
      <w:r w:rsidRPr="000F3293">
        <w:rPr>
          <w:rFonts w:cs="Times New Roman"/>
        </w:rPr>
        <w:t>, 2022).</w:t>
      </w:r>
    </w:p>
    <w:p w14:paraId="58D83A0B" w14:textId="77777777" w:rsidR="000B0296" w:rsidRPr="000F3293" w:rsidRDefault="00CF49B3" w:rsidP="00F93263">
      <w:pPr>
        <w:spacing w:after="120" w:line="360" w:lineRule="auto"/>
        <w:ind w:firstLine="720"/>
        <w:jc w:val="both"/>
        <w:rPr>
          <w:rFonts w:cs="Times New Roman"/>
        </w:rPr>
      </w:pPr>
      <w:r w:rsidRPr="000F3293">
        <w:rPr>
          <w:rFonts w:cs="Times New Roman"/>
        </w:rPr>
        <w:lastRenderedPageBreak/>
        <w:t xml:space="preserve">Ως προς τη διοίκηση, το Μουσείο Ακρόπολης </w:t>
      </w:r>
      <w:proofErr w:type="spellStart"/>
      <w:r w:rsidRPr="000F3293">
        <w:rPr>
          <w:rFonts w:cs="Times New Roman"/>
        </w:rPr>
        <w:t>διέπεται</w:t>
      </w:r>
      <w:proofErr w:type="spellEnd"/>
      <w:r w:rsidRPr="000F3293">
        <w:rPr>
          <w:rFonts w:cs="Times New Roman"/>
        </w:rPr>
        <w:t xml:space="preserve"> από ειδικό θεσμικό καθεστώς. Η επίσημη σελίδα του μουσείου ορίζει ότι οι αρμοδιότητες του Προέδρου, του Διοικητικού Συμβουλίου και του Γενικού Διευθυντή καθορίζονται από τον Ν. 3711/2008 και το Π.Δ. 64/2013. Σήμερα, Πρόεδρος του Διοικητικού Συμβουλίου είναι ο Κωνσταντίνος Αύγουστος Ρίζος, ενώ Γενικός Διευθυντής είναι ο καθηγητής Νικόλαος Χρ. </w:t>
      </w:r>
      <w:proofErr w:type="spellStart"/>
      <w:r w:rsidRPr="000F3293">
        <w:rPr>
          <w:rFonts w:cs="Times New Roman"/>
        </w:rPr>
        <w:t>Σταμπολίδης</w:t>
      </w:r>
      <w:proofErr w:type="spellEnd"/>
      <w:r w:rsidRPr="000F3293">
        <w:rPr>
          <w:rFonts w:cs="Times New Roman"/>
        </w:rPr>
        <w:t>. Η διοικητική δομή περιλαμβάνει διευθύνσεις συλλογών και εκθέσεων, διοικητικών και οικονομικών υπηρεσιών, υποδοχής επισκεπτών, τεχνικών υπηρεσιών και νομικής υποστήριξης, καθώς και ανεξάρτητα γραφεία επικοινωνίας και προώθησης, χορηγιών και δωρεών, γεγονός που δείχνει έναν οργανισμό με ισχυρή κρατική κατοχύρωση, αλλά και σαφή προσανατολισμό στη δημόσια επικοινωνία και στη διεθνή παρουσία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.-a). Η ίδρυση του μουσείου ως νομικού προσώπου δημοσίου δικαίου δεν είναι μια τυπική γραφειοκρατική επιλογή. Αντανακλά το ότι το ελληνικό κράτος αντιμετωπίζει το ζήτημα της Ακρόπολης ως ζήτημα δημόσιου συμφέροντος και εθνικής, αλλά και διεθνούς, πολιτιστικής πολιτικής (Hellenic </w:t>
      </w:r>
      <w:proofErr w:type="spellStart"/>
      <w:r w:rsidRPr="000F3293">
        <w:rPr>
          <w:rFonts w:cs="Times New Roman"/>
        </w:rPr>
        <w:t>Republic</w:t>
      </w:r>
      <w:proofErr w:type="spellEnd"/>
      <w:r w:rsidRPr="000F3293">
        <w:rPr>
          <w:rFonts w:cs="Times New Roman"/>
        </w:rPr>
        <w:t>, 2008, 2013).</w:t>
      </w:r>
    </w:p>
    <w:p w14:paraId="40B7725B" w14:textId="1743A2FC" w:rsidR="000B0296" w:rsidRPr="000F3293" w:rsidRDefault="00CF49B3" w:rsidP="0043019D">
      <w:pPr>
        <w:spacing w:after="120" w:line="360" w:lineRule="auto"/>
        <w:ind w:firstLine="720"/>
        <w:jc w:val="both"/>
        <w:rPr>
          <w:rFonts w:cs="Times New Roman"/>
        </w:rPr>
      </w:pPr>
      <w:r w:rsidRPr="000F3293">
        <w:rPr>
          <w:rFonts w:cs="Times New Roman"/>
        </w:rPr>
        <w:t xml:space="preserve">Το ειδικό αυτό καθεστώς συνδέεται άμεσα με τον σκοπό του μουσείου. Σύμφωνα με τον Ν. 3711/2008, ο πυρήνας της αποστολής του είναι η συγκέντρωση, προστασία, μελέτη, ανάδειξη και προβολή των μνημείων της Ακρόπολης, καθώς και η στέγαση των αποσπασμένων κινητών αρχαίων και αρχιτεκτονικών μελών για φύλαξη, συντήρηση, έρευνα και παρουσίαση στο ελληνικό και διεθνές κοινό (Hellenic </w:t>
      </w:r>
      <w:proofErr w:type="spellStart"/>
      <w:r w:rsidRPr="000F3293">
        <w:rPr>
          <w:rFonts w:cs="Times New Roman"/>
        </w:rPr>
        <w:t>Republic</w:t>
      </w:r>
      <w:proofErr w:type="spellEnd"/>
      <w:r w:rsidRPr="000F3293">
        <w:rPr>
          <w:rFonts w:cs="Times New Roman"/>
        </w:rPr>
        <w:t>, 2008). Πρόκειται για διατύπωση με ιδιαίτερη σημασία. Το μουσείο δεν ιδρύθηκε ως γενικό αρχαιολογικό μουσείο, αλλά ως θεσμός ειδικά προσανατολισμένος στην υλική και ερμηνευτική ενότητα ενός μοναδικού αρχαιολογικού τόπου. Αυτό ακριβώς ενισχύει το επιχείρημα ότι η αποκατάσταση των Γλυπτών του Παρθενώνα δεν είναι ζήτημα απλής μετακίνησης από το ένα μουσείο στο άλλο, αλλά ζήτημα αποκατάστασης της ενότητας ενός μνημείου και της σχέσης του με τον τόπο δημιουργίας του (</w:t>
      </w:r>
      <w:proofErr w:type="spellStart"/>
      <w:r w:rsidRPr="000F3293">
        <w:rPr>
          <w:rFonts w:cs="Times New Roman"/>
        </w:rPr>
        <w:t>Gazi</w:t>
      </w:r>
      <w:proofErr w:type="spellEnd"/>
      <w:r w:rsidRPr="000F3293">
        <w:rPr>
          <w:rFonts w:cs="Times New Roman"/>
        </w:rPr>
        <w:t xml:space="preserve">, 1990, </w:t>
      </w:r>
      <w:proofErr w:type="spellStart"/>
      <w:r w:rsidRPr="000F3293">
        <w:rPr>
          <w:rFonts w:cs="Times New Roman"/>
        </w:rPr>
        <w:t>Stamatoudi</w:t>
      </w:r>
      <w:proofErr w:type="spellEnd"/>
      <w:r w:rsidRPr="000F3293">
        <w:rPr>
          <w:rFonts w:cs="Times New Roman"/>
        </w:rPr>
        <w:t>, 2022).</w:t>
      </w:r>
    </w:p>
    <w:p w14:paraId="2D1E719C" w14:textId="77777777" w:rsidR="000B0296" w:rsidRPr="000F3293" w:rsidRDefault="00CF49B3" w:rsidP="00F93263">
      <w:pPr>
        <w:spacing w:after="120" w:line="360" w:lineRule="auto"/>
        <w:ind w:firstLine="720"/>
        <w:jc w:val="both"/>
        <w:rPr>
          <w:rFonts w:cs="Times New Roman"/>
        </w:rPr>
      </w:pPr>
      <w:r w:rsidRPr="000F3293">
        <w:rPr>
          <w:rFonts w:cs="Times New Roman"/>
        </w:rPr>
        <w:t xml:space="preserve">Η αρχιτεκτονική και εκθεσιακή λογική του μουσείου ενισχύουν περαιτέρω αυτή τη θέση. Η επίσημη παρουσίαση της </w:t>
      </w:r>
      <w:proofErr w:type="spellStart"/>
      <w:r w:rsidRPr="000F3293">
        <w:rPr>
          <w:rFonts w:cs="Times New Roman"/>
        </w:rPr>
        <w:t>Parthenon</w:t>
      </w:r>
      <w:proofErr w:type="spellEnd"/>
      <w:r w:rsidRPr="000F3293">
        <w:rPr>
          <w:rFonts w:cs="Times New Roman"/>
        </w:rPr>
        <w:t xml:space="preserve"> </w:t>
      </w:r>
      <w:proofErr w:type="spellStart"/>
      <w:r w:rsidRPr="000F3293">
        <w:rPr>
          <w:rFonts w:cs="Times New Roman"/>
        </w:rPr>
        <w:t>Gallery</w:t>
      </w:r>
      <w:proofErr w:type="spellEnd"/>
      <w:r w:rsidRPr="000F3293">
        <w:rPr>
          <w:rFonts w:cs="Times New Roman"/>
        </w:rPr>
        <w:t xml:space="preserve"> υπογραμμίζει ότι η έκθεση συνδυάζει τα αυθεντικά σωζόμενα μαρμάρινα γλυπτά με γύψινα εκμαγεία των τμημάτων που παραμένουν στο Βρετανικό Μουσείο ή σε άλλα μουσεία του εξωτερικού και ότι οι γυάλινες επιφάνειες της αίθουσας επιτρέπουν άμεση οπτική σχέση ανάμεσα στα γλυπτά και στο ίδιο το μνημείο. Αυτή η επιλογή δεν είναι ουδέτερη. Δημιουργεί μια συνεχή οπτική υπόμνηση της απουσίας, επιτρέποντας στον </w:t>
      </w:r>
      <w:r w:rsidRPr="000F3293">
        <w:rPr>
          <w:rFonts w:cs="Times New Roman"/>
        </w:rPr>
        <w:lastRenderedPageBreak/>
        <w:t xml:space="preserve">επισκέπτη να δει ταυτόχρονα ό,τι υπάρχει, ό,τι λείπει και από πού λείπει. Το μουσείο, δηλαδή, ενσωματώνει στο ίδιο το στήσιμό του μια μορφή μόνιμης </w:t>
      </w:r>
      <w:proofErr w:type="spellStart"/>
      <w:r w:rsidRPr="000F3293">
        <w:rPr>
          <w:rFonts w:cs="Times New Roman"/>
        </w:rPr>
        <w:t>επιτελεστικής</w:t>
      </w:r>
      <w:proofErr w:type="spellEnd"/>
      <w:r w:rsidRPr="000F3293">
        <w:rPr>
          <w:rFonts w:cs="Times New Roman"/>
        </w:rPr>
        <w:t xml:space="preserve"> τεκμηρίωσης του αιτήματος επανένωσης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.-c). Η πρακτική αυτή συνάδει με όσα έχει επισημάνει η </w:t>
      </w:r>
      <w:proofErr w:type="spellStart"/>
      <w:r w:rsidRPr="000F3293">
        <w:rPr>
          <w:rFonts w:cs="Times New Roman"/>
        </w:rPr>
        <w:t>Σταματούδη</w:t>
      </w:r>
      <w:proofErr w:type="spellEnd"/>
      <w:r w:rsidRPr="000F3293">
        <w:rPr>
          <w:rFonts w:cs="Times New Roman"/>
        </w:rPr>
        <w:t xml:space="preserve">, ότι η ελληνική πλευρά δεν περιορίζει την επιχειρηματολογία της στην κυριότητα, αλλά στην ακεραιότητα, στο </w:t>
      </w:r>
      <w:proofErr w:type="spellStart"/>
      <w:r w:rsidRPr="000F3293">
        <w:rPr>
          <w:rFonts w:cs="Times New Roman"/>
        </w:rPr>
        <w:t>συμφραζόμενο</w:t>
      </w:r>
      <w:proofErr w:type="spellEnd"/>
      <w:r w:rsidRPr="000F3293">
        <w:rPr>
          <w:rFonts w:cs="Times New Roman"/>
        </w:rPr>
        <w:t xml:space="preserve"> και στη λειτουργική αποκατάσταση του μνημείου (</w:t>
      </w:r>
      <w:proofErr w:type="spellStart"/>
      <w:r w:rsidRPr="000F3293">
        <w:rPr>
          <w:rFonts w:cs="Times New Roman"/>
        </w:rPr>
        <w:t>Stamatoudi</w:t>
      </w:r>
      <w:proofErr w:type="spellEnd"/>
      <w:r w:rsidRPr="000F3293">
        <w:rPr>
          <w:rFonts w:cs="Times New Roman"/>
        </w:rPr>
        <w:t>, 2022).</w:t>
      </w:r>
    </w:p>
    <w:p w14:paraId="4AE0B496" w14:textId="77777777" w:rsidR="00F93263" w:rsidRPr="000F3293" w:rsidRDefault="00F93263" w:rsidP="00F93263">
      <w:pPr>
        <w:spacing w:after="120" w:line="360" w:lineRule="auto"/>
        <w:ind w:firstLine="720"/>
        <w:jc w:val="both"/>
        <w:rPr>
          <w:rFonts w:cs="Times New Roman"/>
        </w:rPr>
      </w:pPr>
      <w:r w:rsidRPr="000F3293">
        <w:rPr>
          <w:rFonts w:cs="Times New Roman"/>
        </w:rPr>
        <w:t>Η σημασία του Μουσείου Ακρόπολης ενισχύεται και από τη χρονική του συγκυρία. Η δημόσια έναρξη λειτουργίας του στις 20 Ιουνίου 2009 ολοκλήρωσε ένα μακρόχρονο εγχείρημα, το οποίο είχε σαφή συμβολική και διπλωματική στόχευση. Η ίδρυσή του λειτούργησε ως απάντηση στο επιχείρημα ότι η Ελλάδα στερείται κατάλληλου χώρου συντήρησης και έκθεσης. Από το σημείο αυτό και μετά, το βάρος της συζήτησης μετατοπίστηκε. Η αντιπαράθεση δεν μπορούσε πλέον να στηρίζεται πειστικά σε τεχνικές επιφυλάξεις για την ικανότητα της Αθήνας να στεγάσει τα γλυπτά, αλλά έπρεπε να αντιμετωπίσει ευθέως το ζήτημα της κυριότητας, του δημόσιου οφέλους και του οικουμενικού μουσείου, όπως το θέτει το Βρετανικό Μουσείο (</w:t>
      </w:r>
      <w:r w:rsidRPr="000F3293">
        <w:rPr>
          <w:rFonts w:cs="Times New Roman"/>
          <w:lang w:val="en-US"/>
        </w:rPr>
        <w:t>Acropolis</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b</w:t>
      </w:r>
      <w:r w:rsidRPr="000F3293">
        <w:rPr>
          <w:rFonts w:cs="Times New Roman"/>
        </w:rPr>
        <w:t xml:space="preserve">,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b</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Με άλλα λόγια, η λειτουργία του μουσείου δεν έκλεισε τη διαφορά, αλλά άλλαξε τους όρους της.</w:t>
      </w:r>
    </w:p>
    <w:p w14:paraId="19FB4F06" w14:textId="56DC9B31" w:rsidR="000B0296" w:rsidRPr="000F3293" w:rsidRDefault="00CF49B3" w:rsidP="00F93263">
      <w:pPr>
        <w:spacing w:after="120" w:line="360" w:lineRule="auto"/>
        <w:ind w:firstLine="720"/>
        <w:jc w:val="both"/>
        <w:rPr>
          <w:rFonts w:cs="Times New Roman"/>
        </w:rPr>
      </w:pPr>
      <w:r w:rsidRPr="000F3293">
        <w:rPr>
          <w:rFonts w:cs="Times New Roman"/>
        </w:rPr>
        <w:t xml:space="preserve">Σε επίπεδο επιχειρημάτων, το Μουσείο Ακρόπολης συντάσσεται σταθερά με τη γλώσσα της επανένωσης. Αυτό διαφαίνεται ιδιαίτερα στα επίσημα κείμενα που συνοδεύουν τις πρόσφατες επιστροφές τμημάτων του Παρθενώνα. Η υποδοχή του λεγόμενου </w:t>
      </w:r>
      <w:proofErr w:type="spellStart"/>
      <w:r w:rsidRPr="000F3293">
        <w:rPr>
          <w:rFonts w:cs="Times New Roman"/>
        </w:rPr>
        <w:t>Fagan</w:t>
      </w:r>
      <w:proofErr w:type="spellEnd"/>
      <w:r w:rsidRPr="000F3293">
        <w:rPr>
          <w:rFonts w:cs="Times New Roman"/>
        </w:rPr>
        <w:t xml:space="preserve"> </w:t>
      </w:r>
      <w:proofErr w:type="spellStart"/>
      <w:r w:rsidRPr="000F3293">
        <w:rPr>
          <w:rFonts w:cs="Times New Roman"/>
        </w:rPr>
        <w:t>fragment</w:t>
      </w:r>
      <w:proofErr w:type="spellEnd"/>
      <w:r w:rsidRPr="000F3293">
        <w:rPr>
          <w:rFonts w:cs="Times New Roman"/>
        </w:rPr>
        <w:t xml:space="preserve"> από το Παλέρμο τον Ιανουάριο του 2022 παρουσιάστηκε ως η πρώτη επιστροφή τμήματος </w:t>
      </w:r>
      <w:proofErr w:type="spellStart"/>
      <w:r w:rsidRPr="000F3293">
        <w:rPr>
          <w:rFonts w:cs="Times New Roman"/>
        </w:rPr>
        <w:t>παρθενώνειας</w:t>
      </w:r>
      <w:proofErr w:type="spellEnd"/>
      <w:r w:rsidRPr="000F3293">
        <w:rPr>
          <w:rFonts w:cs="Times New Roman"/>
        </w:rPr>
        <w:t xml:space="preserve"> γλυπτικής από το εξωτερικό στο νέο μουσείο. Λίγους μήνες αργότερα, τον Ιούνιο του 2022, η μόνιμη επανένωση του ίδιου θραύσματος </w:t>
      </w:r>
      <w:proofErr w:type="spellStart"/>
      <w:r w:rsidRPr="000F3293">
        <w:rPr>
          <w:rFonts w:cs="Times New Roman"/>
        </w:rPr>
        <w:t>περιγράφηκε</w:t>
      </w:r>
      <w:proofErr w:type="spellEnd"/>
      <w:r w:rsidRPr="000F3293">
        <w:rPr>
          <w:rFonts w:cs="Times New Roman"/>
        </w:rPr>
        <w:t xml:space="preserve"> από το μουσείο ως η πρώτη επανένωση τμήματος της αρχιτεκτονικής γλυπτικής του Παρθενώνα, χωρίς να χρησιμοποιούνται όροι όπως </w:t>
      </w:r>
      <w:proofErr w:type="spellStart"/>
      <w:r w:rsidRPr="000F3293">
        <w:rPr>
          <w:rFonts w:cs="Times New Roman"/>
        </w:rPr>
        <w:t>grant</w:t>
      </w:r>
      <w:proofErr w:type="spellEnd"/>
      <w:r w:rsidRPr="000F3293">
        <w:rPr>
          <w:rFonts w:cs="Times New Roman"/>
        </w:rPr>
        <w:t xml:space="preserve">, </w:t>
      </w:r>
      <w:proofErr w:type="spellStart"/>
      <w:r w:rsidRPr="000F3293">
        <w:rPr>
          <w:rFonts w:cs="Times New Roman"/>
        </w:rPr>
        <w:t>loan</w:t>
      </w:r>
      <w:proofErr w:type="spellEnd"/>
      <w:r w:rsidRPr="000F3293">
        <w:rPr>
          <w:rFonts w:cs="Times New Roman"/>
        </w:rPr>
        <w:t xml:space="preserve"> ή </w:t>
      </w:r>
      <w:proofErr w:type="spellStart"/>
      <w:r w:rsidRPr="000F3293">
        <w:rPr>
          <w:rFonts w:cs="Times New Roman"/>
        </w:rPr>
        <w:t>purchase</w:t>
      </w:r>
      <w:proofErr w:type="spellEnd"/>
      <w:r w:rsidRPr="000F3293">
        <w:rPr>
          <w:rFonts w:cs="Times New Roman"/>
        </w:rPr>
        <w:t>, οι οποίοι, όπως τονίζεται ρητά, απορρίπτονται από το ελληνικό κράτος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2022a, 2022b). Η διατύπωση αυτή έχει υψηλή ερμηνευτική αξία. Δείχνει ότι, για την ελληνική προσέγγιση, η υιοθέτηση της γλώσσας του δανεισμού ενέχει κίνδυνο έμμεσης αναγνώρισης της ιδιοκτησίας του κατόχου. Επομένως, το Μουσείο Ακρόπολης, ακόμη και στα δελτία τύπου του, λειτουργεί ως θεσμός που υπερασπίζεται μια συγκεκριμένη </w:t>
      </w:r>
      <w:proofErr w:type="spellStart"/>
      <w:r w:rsidRPr="000F3293">
        <w:rPr>
          <w:rFonts w:cs="Times New Roman"/>
        </w:rPr>
        <w:t>νομικοηθική</w:t>
      </w:r>
      <w:proofErr w:type="spellEnd"/>
      <w:r w:rsidRPr="000F3293">
        <w:rPr>
          <w:rFonts w:cs="Times New Roman"/>
        </w:rPr>
        <w:t xml:space="preserve"> γραμμή. </w:t>
      </w:r>
    </w:p>
    <w:p w14:paraId="1A46EC51" w14:textId="1A005D9A" w:rsidR="000B0296" w:rsidRPr="000F3293" w:rsidRDefault="00CF49B3" w:rsidP="00F93263">
      <w:pPr>
        <w:spacing w:after="120" w:line="360" w:lineRule="auto"/>
        <w:ind w:firstLine="720"/>
        <w:jc w:val="both"/>
        <w:rPr>
          <w:rFonts w:cs="Times New Roman"/>
        </w:rPr>
      </w:pPr>
      <w:r w:rsidRPr="000F3293">
        <w:rPr>
          <w:rFonts w:cs="Times New Roman"/>
        </w:rPr>
        <w:lastRenderedPageBreak/>
        <w:t xml:space="preserve">Αντίστοιχη είναι η λογική και στην περίπτωση των θραυσμάτων από τα Μουσεία του Βατικανού. Το μουσείο περιέγραψε την τελετή της 24ης Μαρτίου 2023 ως «δεύτερη μόνιμη επανένωση» μερών της </w:t>
      </w:r>
      <w:proofErr w:type="spellStart"/>
      <w:r w:rsidRPr="000F3293">
        <w:rPr>
          <w:rFonts w:cs="Times New Roman"/>
        </w:rPr>
        <w:t>παρθενώνειας</w:t>
      </w:r>
      <w:proofErr w:type="spellEnd"/>
      <w:r w:rsidRPr="000F3293">
        <w:rPr>
          <w:rFonts w:cs="Times New Roman"/>
        </w:rPr>
        <w:t xml:space="preserve"> γλυπτικής, σημειώνοντας μάλιστα ότι η επιστροφή του θραύσματος </w:t>
      </w:r>
      <w:proofErr w:type="spellStart"/>
      <w:r w:rsidRPr="000F3293">
        <w:rPr>
          <w:rFonts w:cs="Times New Roman"/>
        </w:rPr>
        <w:t>Fagan</w:t>
      </w:r>
      <w:proofErr w:type="spellEnd"/>
      <w:r w:rsidRPr="000F3293">
        <w:rPr>
          <w:rFonts w:cs="Times New Roman"/>
        </w:rPr>
        <w:t xml:space="preserve"> και στη συνέχεια των τριών θραυσμάτων από το Βατικανό αποτελούν παράδειγμα του δρόμου που το Βρετανικό Μουσείο και το Βρετανικό Κοινοβούλιο μπορούν και οφείλουν να ακολουθήσουν για την τελική επανένωση των Γλυπτών του Παρθενώνα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2023a). Εδώ το μουσείο δεν μένει στο επίπεδο της πολιτιστικής φιλοξενίας. Μετατρέπει τις μικρότερες επιστροφές σε πολιτικής νομιμοποίησης. Κάθε θραύσμα που επιστρέφει χρησιμοποιείται ως εμπράγματη απόδειξη ότι η επανένωση είναι εφικτή και ότι δεν προσβάλλει τη διεθνή συνεργασία, αντιθέτως μπορεί να την αναβαθμίσει.</w:t>
      </w:r>
    </w:p>
    <w:p w14:paraId="2DE4B200" w14:textId="77777777" w:rsidR="000B0296" w:rsidRPr="000F3293" w:rsidRDefault="00CF49B3" w:rsidP="00F93263">
      <w:pPr>
        <w:spacing w:after="120" w:line="360" w:lineRule="auto"/>
        <w:ind w:firstLine="720"/>
        <w:jc w:val="both"/>
        <w:rPr>
          <w:rFonts w:cs="Times New Roman"/>
        </w:rPr>
      </w:pPr>
      <w:r w:rsidRPr="000F3293">
        <w:rPr>
          <w:rFonts w:cs="Times New Roman"/>
        </w:rPr>
        <w:t xml:space="preserve">Η διοίκηση και η δημόσια επικοινωνία του μουσείου δείχνουν ότι το ίδρυμα έχει πλήρη συνείδηση του ρόλου του ως φορέα πολιτιστικής διπλωματίας. Η ίδια η ύπαρξη ανεξάρτητου γραφείου επικοινωνίας και προώθησης, η συστηματική έκδοση δελτίων τύπου, η ψηφιακή παρουσία και η έμφαση στην προβολή των νέων επανενώσεων φανερώνουν ότι η υπόθεση δεν αντιμετωπίζεται μόνο ως </w:t>
      </w:r>
      <w:proofErr w:type="spellStart"/>
      <w:r w:rsidRPr="000F3293">
        <w:rPr>
          <w:rFonts w:cs="Times New Roman"/>
        </w:rPr>
        <w:t>επιμελητικό</w:t>
      </w:r>
      <w:proofErr w:type="spellEnd"/>
      <w:r w:rsidRPr="000F3293">
        <w:rPr>
          <w:rFonts w:cs="Times New Roman"/>
        </w:rPr>
        <w:t xml:space="preserve"> ή συντηρητικό ζήτημα, αλλά ως πεδίο διαμόρφωσης διεθνούς δημόσιας γνώμης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.-a, </w:t>
      </w:r>
      <w:proofErr w:type="spellStart"/>
      <w:r w:rsidRPr="000F3293">
        <w:rPr>
          <w:rFonts w:cs="Times New Roman"/>
        </w:rPr>
        <w:t>n.d</w:t>
      </w:r>
      <w:proofErr w:type="spellEnd"/>
      <w:r w:rsidRPr="000F3293">
        <w:rPr>
          <w:rFonts w:cs="Times New Roman"/>
        </w:rPr>
        <w:t xml:space="preserve">.-d). Στο επίπεδο της </w:t>
      </w:r>
      <w:proofErr w:type="spellStart"/>
      <w:r w:rsidRPr="000F3293">
        <w:rPr>
          <w:rFonts w:cs="Times New Roman"/>
        </w:rPr>
        <w:t>soft</w:t>
      </w:r>
      <w:proofErr w:type="spellEnd"/>
      <w:r w:rsidRPr="000F3293">
        <w:rPr>
          <w:rFonts w:cs="Times New Roman"/>
        </w:rPr>
        <w:t xml:space="preserve"> </w:t>
      </w:r>
      <w:proofErr w:type="spellStart"/>
      <w:r w:rsidRPr="000F3293">
        <w:rPr>
          <w:rFonts w:cs="Times New Roman"/>
        </w:rPr>
        <w:t>power</w:t>
      </w:r>
      <w:proofErr w:type="spellEnd"/>
      <w:r w:rsidRPr="000F3293">
        <w:rPr>
          <w:rFonts w:cs="Times New Roman"/>
        </w:rPr>
        <w:t>, το μουσείο επιτελεί τριπλή λειτουργία. Πρώτον, παρουσιάζει την Ελλάδα ως τεχνικά και επιστημονικά επαρκή. Δεύτερον, παρουσιάζει την επανένωση ως οικουμενικά επωφελή πράξη και όχι ως στενά εθνικιστικό αίτημα. Τρίτον, αναδεικνύει ότι η ελληνική θέση είναι συμβατή με τη διεθνή συνεργασία, αφού οι επιστροφές από Σικελία και Βατικανό δεν οδήγησαν σε διπλωματική ρήξη, αλλά σε ενίσχυση πολιτιστικών σχέσεων (</w:t>
      </w:r>
      <w:proofErr w:type="spellStart"/>
      <w:r w:rsidRPr="000F3293">
        <w:rPr>
          <w:rFonts w:cs="Times New Roman"/>
        </w:rPr>
        <w:t>Murphy</w:t>
      </w:r>
      <w:proofErr w:type="spellEnd"/>
      <w:r w:rsidRPr="000F3293">
        <w:rPr>
          <w:rFonts w:cs="Times New Roman"/>
        </w:rPr>
        <w:t xml:space="preserve">, 2024,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2022b, 2023a).</w:t>
      </w:r>
    </w:p>
    <w:p w14:paraId="255DE4F4" w14:textId="723E664D" w:rsidR="00E61646" w:rsidRPr="000F3293" w:rsidRDefault="00E61646" w:rsidP="00E61646">
      <w:pPr>
        <w:spacing w:after="120" w:line="360" w:lineRule="auto"/>
        <w:ind w:firstLine="720"/>
        <w:jc w:val="both"/>
        <w:rPr>
          <w:rFonts w:cs="Times New Roman"/>
        </w:rPr>
      </w:pPr>
      <w:r w:rsidRPr="000F3293">
        <w:rPr>
          <w:rFonts w:cs="Times New Roman"/>
        </w:rPr>
        <w:t xml:space="preserve">Οι βασικές φωνές που στηρίζουν τη γραμμή του μουσείου είναι </w:t>
      </w:r>
      <w:proofErr w:type="spellStart"/>
      <w:r w:rsidRPr="000F3293">
        <w:rPr>
          <w:rFonts w:cs="Times New Roman"/>
        </w:rPr>
        <w:t>πολυεπίπεδες</w:t>
      </w:r>
      <w:proofErr w:type="spellEnd"/>
      <w:r w:rsidRPr="000F3293">
        <w:rPr>
          <w:rFonts w:cs="Times New Roman"/>
        </w:rPr>
        <w:t xml:space="preserve">. Στο εσωτερικό επίπεδο, το Υπουργείο Πολιτισμού, το Διοικητικό Συμβούλιο και η Γενική Διεύθυνση του μουσείου προωθούν τη θέση ότι τα Γλυπτά ανήκουν σε ενιαίο μνημειακό σύνολο και ότι η φυσική και ερμηνευτική τους αποκατάσταση στην Αθήνα εξυπηρετεί τόσο το εθνικό όσο και το παγκόσμιο συμφέρον. Σε διεθνές επίπεδο, η UNESCO, μέσα από τη διαχρονική εξέταση της υπόθεσης στην αρμόδια διακυβερνητική επιτροπή, έχει κρατήσει ανοικτό το ζήτημα και έχει ενισχύσει τη νομιμοποίηση του διαλόγου περί επιστροφής, ακόμη κι αν δεν διαθέτει μηχανισμό εξαναγκασμού (UNESCO, 2024, </w:t>
      </w:r>
      <w:proofErr w:type="spellStart"/>
      <w:r w:rsidRPr="000F3293">
        <w:rPr>
          <w:rFonts w:cs="Times New Roman"/>
        </w:rPr>
        <w:t>Stamatoudi</w:t>
      </w:r>
      <w:proofErr w:type="spellEnd"/>
      <w:r w:rsidRPr="000F3293">
        <w:rPr>
          <w:rFonts w:cs="Times New Roman"/>
        </w:rPr>
        <w:t xml:space="preserve">, 2022). Σε επίπεδο δημόσιας ιστορίας, το ίδιο το </w:t>
      </w:r>
      <w:r w:rsidRPr="000F3293">
        <w:rPr>
          <w:rFonts w:cs="Times New Roman"/>
        </w:rPr>
        <w:lastRenderedPageBreak/>
        <w:t>μουσείο, με τα εκμαγεία και την οπτική σχέση με τον βράχο, συγκροτεί μια ισχυρή παιδευτική σκηνή, όπου ο επισκέπτης προσλαμβάνει αμέσως το επιχείρημα της απουσίας.</w:t>
      </w:r>
    </w:p>
    <w:p w14:paraId="132EA523" w14:textId="0E4D3F7B" w:rsidR="00E61646" w:rsidRPr="000F3293" w:rsidRDefault="00E61646" w:rsidP="00E61646">
      <w:pPr>
        <w:spacing w:after="120" w:line="360" w:lineRule="auto"/>
        <w:ind w:firstLine="720"/>
        <w:jc w:val="both"/>
        <w:rPr>
          <w:rFonts w:cs="Times New Roman"/>
        </w:rPr>
      </w:pPr>
      <w:r w:rsidRPr="000F3293">
        <w:rPr>
          <w:rFonts w:cs="Times New Roman"/>
        </w:rPr>
        <w:t xml:space="preserve">Ωστόσο, η περίπτωση του Μουσείου Ακρόπολης δεν πρέπει να ιδωθεί ως απλή ηθική ανωτερότητα έναντι του Βρετανικού Μουσείου. Υπάρχουν και εδώ θεσμικά συμφέροντα. Η επανένωση θα ενίσχυε ακόμη περισσότερο το διεθνές κύρος του μουσείου, την </w:t>
      </w:r>
      <w:proofErr w:type="spellStart"/>
      <w:r w:rsidRPr="000F3293">
        <w:rPr>
          <w:rFonts w:cs="Times New Roman"/>
        </w:rPr>
        <w:t>επισκεψιμότητα</w:t>
      </w:r>
      <w:proofErr w:type="spellEnd"/>
      <w:r w:rsidRPr="000F3293">
        <w:rPr>
          <w:rFonts w:cs="Times New Roman"/>
        </w:rPr>
        <w:t xml:space="preserve"> της Αθήνας, τη θέση του μουσείου στον παγκόσμιο μουσειακό χάρτη και την πολιτιστική κεφαλαιοποίηση του Παρθενώνα. Η </w:t>
      </w:r>
      <w:proofErr w:type="spellStart"/>
      <w:r w:rsidRPr="000F3293">
        <w:rPr>
          <w:rFonts w:cs="Times New Roman"/>
        </w:rPr>
        <w:t>Kersel</w:t>
      </w:r>
      <w:proofErr w:type="spellEnd"/>
      <w:r w:rsidRPr="000F3293">
        <w:rPr>
          <w:rFonts w:cs="Times New Roman"/>
        </w:rPr>
        <w:t xml:space="preserve"> έχει δείξει ότι τα εμβληματικά αντικείμενα λειτουργούν ως συμβολικό και οικονομικό κεφάλαιο, και αυτό ισχύει και στην περίπτωση της Ακρόπολης. Η επιστροφή των Γλυπτών δεν θα ήταν μόνο πράξη δικαιοσύνης ή μνημειακής ακεραιότητας, αλλά και πράξη ανακατανομής πολιτιστικού κύρους και τουριστικής βαρύτητας (</w:t>
      </w:r>
      <w:proofErr w:type="spellStart"/>
      <w:r w:rsidRPr="000F3293">
        <w:rPr>
          <w:rFonts w:cs="Times New Roman"/>
        </w:rPr>
        <w:t>Kersel</w:t>
      </w:r>
      <w:proofErr w:type="spellEnd"/>
      <w:r w:rsidRPr="000F3293">
        <w:rPr>
          <w:rFonts w:cs="Times New Roman"/>
        </w:rPr>
        <w:t>, 2004). Η αναγνώριση αυτής της διάστασης δεν αποδυναμώνει το ελληνικό επιχείρημα. Αντίθετα, το καθιστά πιο ρεαλιστικό, διότι αποκαλύπτει ότι οι διαμάχες για την πολιτιστική κληρονομιά είναι πάντοτε και διαμάχες για θεσμική ισχύ.</w:t>
      </w:r>
    </w:p>
    <w:p w14:paraId="7F81F877" w14:textId="77777777" w:rsidR="00E61646" w:rsidRPr="000F3293" w:rsidRDefault="00E61646" w:rsidP="00E61646">
      <w:pPr>
        <w:spacing w:after="120" w:line="360" w:lineRule="auto"/>
        <w:ind w:firstLine="720"/>
        <w:jc w:val="both"/>
        <w:rPr>
          <w:rFonts w:cs="Times New Roman"/>
        </w:rPr>
      </w:pPr>
      <w:r w:rsidRPr="000F3293">
        <w:rPr>
          <w:rFonts w:cs="Times New Roman"/>
        </w:rPr>
        <w:t xml:space="preserve">Από την άποψη της </w:t>
      </w:r>
      <w:proofErr w:type="spellStart"/>
      <w:r w:rsidRPr="000F3293">
        <w:rPr>
          <w:rFonts w:cs="Times New Roman"/>
        </w:rPr>
        <w:t>χρονογραμμής</w:t>
      </w:r>
      <w:proofErr w:type="spellEnd"/>
      <w:r w:rsidRPr="000F3293">
        <w:rPr>
          <w:rFonts w:cs="Times New Roman"/>
        </w:rPr>
        <w:t xml:space="preserve">, ο ρόλος του μουσείου μπορεί να αποτυπωθεί σε ορισμένα κομβικά βήματα. Η δημόσια έναρξη λειτουργίας του το 2009 δημιούργησε το υλικό πλαίσιο της επανένωσης. Η έκθεση της </w:t>
      </w:r>
      <w:proofErr w:type="spellStart"/>
      <w:r w:rsidRPr="000F3293">
        <w:rPr>
          <w:rFonts w:cs="Times New Roman"/>
        </w:rPr>
        <w:t>Parthenon</w:t>
      </w:r>
      <w:proofErr w:type="spellEnd"/>
      <w:r w:rsidRPr="000F3293">
        <w:rPr>
          <w:rFonts w:cs="Times New Roman"/>
        </w:rPr>
        <w:t xml:space="preserve"> </w:t>
      </w:r>
      <w:proofErr w:type="spellStart"/>
      <w:r w:rsidRPr="000F3293">
        <w:rPr>
          <w:rFonts w:cs="Times New Roman"/>
        </w:rPr>
        <w:t>Gallery</w:t>
      </w:r>
      <w:proofErr w:type="spellEnd"/>
      <w:r w:rsidRPr="000F3293">
        <w:rPr>
          <w:rFonts w:cs="Times New Roman"/>
        </w:rPr>
        <w:t xml:space="preserve"> με τα κενά συμπληρωμένα από εκμαγεία διαμόρφωσε ένα μόνιμο ερμηνευτικό υπόβαθρο. Η τελετή της 10ης Ιανουαρίου 2022 για την πρώτη επιστροφή τμήματος από το εξωτερικό εγκαινίασε μια νέα φάση, όπου οι μερικές επανενώσεις μπορούσαν πλέον να εκληφθούν ως εφαρμόσιμη πρακτική. Η μόνιμη επανένωση του θραύσματος </w:t>
      </w:r>
      <w:proofErr w:type="spellStart"/>
      <w:r w:rsidRPr="000F3293">
        <w:rPr>
          <w:rFonts w:cs="Times New Roman"/>
        </w:rPr>
        <w:t>Fagan</w:t>
      </w:r>
      <w:proofErr w:type="spellEnd"/>
      <w:r w:rsidRPr="000F3293">
        <w:rPr>
          <w:rFonts w:cs="Times New Roman"/>
        </w:rPr>
        <w:t xml:space="preserve"> στις 4 Ιουνίου 2022 έδωσε στην ελληνική πλευρά ένα ισχυρό προηγούμενο χωρίς γλώσσα δανεισμού. Η τελετή της 24ης Μαρτίου 2023 για τα τρία θραύσματα από τα Μουσεία του Βατικανού προσέδωσε στην ίδια λογική μεγαλύτερη διεθνή βαρύτητα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2022a, 2022b, 2023a). Αυτά τα βήματα δείχνουν ότι το Μουσείο Ακρόπολης δεν περιμένει παθητικά μια μελλοντική απόφαση για τα Γλυπτά του Βρετανικού Μουσείου. Συγκροτεί ήδη μια πολιτική συσσώρευσης προηγουμένων, όπου κάθε νέα επανένωση λειτουργεί ως δοκιμή, επιχείρημα και πρότυπο.</w:t>
      </w:r>
    </w:p>
    <w:p w14:paraId="3825FBBF" w14:textId="77777777" w:rsidR="00E61646" w:rsidRPr="000F3293" w:rsidRDefault="00E61646" w:rsidP="00E61646">
      <w:pPr>
        <w:spacing w:after="120" w:line="360" w:lineRule="auto"/>
        <w:ind w:firstLine="720"/>
        <w:jc w:val="both"/>
        <w:rPr>
          <w:rFonts w:cs="Times New Roman"/>
        </w:rPr>
      </w:pPr>
      <w:r w:rsidRPr="000F3293">
        <w:rPr>
          <w:rFonts w:cs="Times New Roman"/>
        </w:rPr>
        <w:t xml:space="preserve">Συνολικά, το Μουσείο Ακρόπολης αποτελεί </w:t>
      </w:r>
      <w:proofErr w:type="spellStart"/>
      <w:r w:rsidRPr="000F3293">
        <w:rPr>
          <w:rFonts w:cs="Times New Roman"/>
        </w:rPr>
        <w:t>case</w:t>
      </w:r>
      <w:proofErr w:type="spellEnd"/>
      <w:r w:rsidRPr="000F3293">
        <w:rPr>
          <w:rFonts w:cs="Times New Roman"/>
        </w:rPr>
        <w:t xml:space="preserve"> </w:t>
      </w:r>
      <w:proofErr w:type="spellStart"/>
      <w:r w:rsidRPr="000F3293">
        <w:rPr>
          <w:rFonts w:cs="Times New Roman"/>
        </w:rPr>
        <w:t>study</w:t>
      </w:r>
      <w:proofErr w:type="spellEnd"/>
      <w:r w:rsidRPr="000F3293">
        <w:rPr>
          <w:rFonts w:cs="Times New Roman"/>
        </w:rPr>
        <w:t xml:space="preserve"> επαναπατρισμού όχι επειδή έχει ήδη επιτύχει τον τελικό στόχο της επανένωσης των Γλυπτών του Παρθενώνα, αλλά επειδή έχει επιτύχει κάτι εξίσου σημαντικό σε αναλυτικό επίπεδο. Έχει μετατρέψει το αίτημα επιστροφής από </w:t>
      </w:r>
      <w:r w:rsidRPr="000F3293">
        <w:rPr>
          <w:rFonts w:cs="Times New Roman"/>
        </w:rPr>
        <w:lastRenderedPageBreak/>
        <w:t xml:space="preserve">αφηρημένη εθνική διεκδίκηση σε καθημερινά ορατή, αρχιτεκτονικά ενσωματωμένη και διεθνώς </w:t>
      </w:r>
      <w:proofErr w:type="spellStart"/>
      <w:r w:rsidRPr="000F3293">
        <w:rPr>
          <w:rFonts w:cs="Times New Roman"/>
        </w:rPr>
        <w:t>επικοινωνήσιμη</w:t>
      </w:r>
      <w:proofErr w:type="spellEnd"/>
      <w:r w:rsidRPr="000F3293">
        <w:rPr>
          <w:rFonts w:cs="Times New Roman"/>
        </w:rPr>
        <w:t xml:space="preserve"> μουσειακή πραγματικότητα. Ως θεσμός, επομένως, δεν λειτουργεί απλώς ως αποδέκτης ενδεχόμενης επιστροφής, αλλά ως οργανωμένος παραγωγός νοήματος, ως μηχανισμός πολιτιστικής διπλωματίας και ως υλικό τεκμήριο υπέρ της επανένωσης.</w:t>
      </w:r>
    </w:p>
    <w:p w14:paraId="0BEDD4C0" w14:textId="77777777" w:rsidR="000B0296" w:rsidRPr="000F3293" w:rsidRDefault="000B0296">
      <w:pPr>
        <w:rPr>
          <w:rFonts w:cs="Times New Roman"/>
        </w:rPr>
      </w:pPr>
    </w:p>
    <w:p w14:paraId="4278536E" w14:textId="525138C0" w:rsidR="000B0296" w:rsidRPr="000F3293" w:rsidRDefault="00CF49B3" w:rsidP="0043019D">
      <w:pPr>
        <w:pStyle w:val="2"/>
        <w:spacing w:after="120" w:line="360" w:lineRule="auto"/>
        <w:jc w:val="both"/>
        <w:rPr>
          <w:rFonts w:ascii="Times New Roman" w:hAnsi="Times New Roman" w:cs="Times New Roman"/>
          <w:b/>
          <w:bCs/>
          <w:color w:val="auto"/>
          <w:sz w:val="28"/>
          <w:szCs w:val="28"/>
        </w:rPr>
      </w:pPr>
      <w:bookmarkStart w:id="33" w:name="_Toc233154585"/>
      <w:r w:rsidRPr="000F3293">
        <w:rPr>
          <w:rFonts w:ascii="Times New Roman" w:hAnsi="Times New Roman" w:cs="Times New Roman"/>
          <w:b/>
          <w:bCs/>
          <w:color w:val="auto"/>
          <w:sz w:val="28"/>
          <w:szCs w:val="28"/>
        </w:rPr>
        <w:t>3.</w:t>
      </w:r>
      <w:r w:rsidR="008E77D7" w:rsidRPr="000F3293">
        <w:rPr>
          <w:rFonts w:ascii="Times New Roman" w:hAnsi="Times New Roman" w:cs="Times New Roman"/>
          <w:b/>
          <w:bCs/>
          <w:color w:val="auto"/>
          <w:sz w:val="28"/>
          <w:szCs w:val="28"/>
        </w:rPr>
        <w:t>2</w:t>
      </w:r>
      <w:r w:rsidRPr="000F3293">
        <w:rPr>
          <w:rFonts w:ascii="Times New Roman" w:hAnsi="Times New Roman" w:cs="Times New Roman"/>
          <w:b/>
          <w:bCs/>
          <w:color w:val="auto"/>
          <w:sz w:val="28"/>
          <w:szCs w:val="28"/>
        </w:rPr>
        <w:t xml:space="preserve"> Βρετανικό Μουσείο, ο θεσμός κατοχής, η νομική ακαμψία και το επιχείρημα του </w:t>
      </w:r>
      <w:proofErr w:type="spellStart"/>
      <w:r w:rsidRPr="000F3293">
        <w:rPr>
          <w:rFonts w:ascii="Times New Roman" w:hAnsi="Times New Roman" w:cs="Times New Roman"/>
          <w:b/>
          <w:bCs/>
          <w:color w:val="auto"/>
          <w:sz w:val="28"/>
          <w:szCs w:val="28"/>
        </w:rPr>
        <w:t>universal</w:t>
      </w:r>
      <w:proofErr w:type="spellEnd"/>
      <w:r w:rsidRPr="000F3293">
        <w:rPr>
          <w:rFonts w:ascii="Times New Roman" w:hAnsi="Times New Roman" w:cs="Times New Roman"/>
          <w:b/>
          <w:bCs/>
          <w:color w:val="auto"/>
          <w:sz w:val="28"/>
          <w:szCs w:val="28"/>
        </w:rPr>
        <w:t xml:space="preserve"> </w:t>
      </w:r>
      <w:proofErr w:type="spellStart"/>
      <w:r w:rsidRPr="000F3293">
        <w:rPr>
          <w:rFonts w:ascii="Times New Roman" w:hAnsi="Times New Roman" w:cs="Times New Roman"/>
          <w:b/>
          <w:bCs/>
          <w:color w:val="auto"/>
          <w:sz w:val="28"/>
          <w:szCs w:val="28"/>
        </w:rPr>
        <w:t>museum</w:t>
      </w:r>
      <w:bookmarkEnd w:id="33"/>
      <w:proofErr w:type="spellEnd"/>
    </w:p>
    <w:p w14:paraId="1D2574DC" w14:textId="77777777" w:rsidR="000B0296" w:rsidRPr="000F3293" w:rsidRDefault="00CF49B3">
      <w:pPr>
        <w:spacing w:after="120" w:line="360" w:lineRule="auto"/>
        <w:jc w:val="both"/>
        <w:rPr>
          <w:rFonts w:cs="Times New Roman"/>
        </w:rPr>
      </w:pPr>
      <w:r w:rsidRPr="000F3293">
        <w:rPr>
          <w:rFonts w:cs="Times New Roman"/>
        </w:rPr>
        <w:t xml:space="preserve">Αν το Μουσείο Ακρόπολης ενσαρκώνει το επιχείρημα της επανένωσης, το Βρετανικό Μουσείο ενσαρκώνει το επιχείρημα της διατήρησης. Η σημασία του ως μελέτης περίπτωσης δεν έγκειται μόνο στο ότι κατέχει το μεγαλύτερο και πολιτικά βαρύτερο τμήμα των Γλυπτών του Παρθενώνα εκτός Ελλάδας, αλλά στο ότι έχει μετασχηματίσει τη συγκεκριμένη κατοχή σε θεσμική θεωρία, σε νομική θέση και σε αφήγημα δημόσιου οφέλους. Οι σελίδες του για τα </w:t>
      </w:r>
      <w:proofErr w:type="spellStart"/>
      <w:r w:rsidRPr="000F3293">
        <w:rPr>
          <w:rFonts w:cs="Times New Roman"/>
        </w:rPr>
        <w:t>Parthenon</w:t>
      </w:r>
      <w:proofErr w:type="spellEnd"/>
      <w:r w:rsidRPr="000F3293">
        <w:rPr>
          <w:rFonts w:cs="Times New Roman"/>
        </w:rPr>
        <w:t xml:space="preserve"> </w:t>
      </w:r>
      <w:proofErr w:type="spellStart"/>
      <w:r w:rsidRPr="000F3293">
        <w:rPr>
          <w:rFonts w:cs="Times New Roman"/>
        </w:rPr>
        <w:t>Sculptures</w:t>
      </w:r>
      <w:proofErr w:type="spellEnd"/>
      <w:r w:rsidRPr="000F3293">
        <w:rPr>
          <w:rFonts w:cs="Times New Roman"/>
        </w:rPr>
        <w:t xml:space="preserve"> και η επίσημη δήλωση των </w:t>
      </w:r>
      <w:proofErr w:type="spellStart"/>
      <w:r w:rsidRPr="000F3293">
        <w:rPr>
          <w:rFonts w:cs="Times New Roman"/>
        </w:rPr>
        <w:t>Trustees</w:t>
      </w:r>
      <w:proofErr w:type="spellEnd"/>
      <w:r w:rsidRPr="000F3293">
        <w:rPr>
          <w:rFonts w:cs="Times New Roman"/>
        </w:rPr>
        <w:t xml:space="preserve"> δεν είναι ουδέτερη ενημέρωση. Αποτελούν ένα πλήρως επεξεργασμένο </w:t>
      </w:r>
      <w:proofErr w:type="spellStart"/>
      <w:r w:rsidRPr="000F3293">
        <w:rPr>
          <w:rFonts w:cs="Times New Roman"/>
        </w:rPr>
        <w:t>corpus</w:t>
      </w:r>
      <w:proofErr w:type="spellEnd"/>
      <w:r w:rsidRPr="000F3293">
        <w:rPr>
          <w:rFonts w:cs="Times New Roman"/>
        </w:rPr>
        <w:t xml:space="preserve"> επιχειρημάτων, όπου η ιστορική νομιμότητα, το παγκόσμιο μουσείο, η συμπληρωματικότητα με το Μουσείο Ακρόπολης και οι νομοθετικοί περιορισμοί συντίθενται σε ένα συνεκτικό πλαίσιο αντίστασης στην οριστική επιστροφή (British </w:t>
      </w:r>
      <w:proofErr w:type="spellStart"/>
      <w:r w:rsidRPr="000F3293">
        <w:rPr>
          <w:rFonts w:cs="Times New Roman"/>
        </w:rPr>
        <w:t>Museum</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.-b, </w:t>
      </w:r>
      <w:proofErr w:type="spellStart"/>
      <w:r w:rsidRPr="000F3293">
        <w:rPr>
          <w:rFonts w:cs="Times New Roman"/>
        </w:rPr>
        <w:t>n.d</w:t>
      </w:r>
      <w:proofErr w:type="spellEnd"/>
      <w:r w:rsidRPr="000F3293">
        <w:rPr>
          <w:rFonts w:cs="Times New Roman"/>
        </w:rPr>
        <w:t>.-c).</w:t>
      </w:r>
    </w:p>
    <w:p w14:paraId="20BE2075" w14:textId="77777777" w:rsidR="004F616A" w:rsidRPr="000F3293" w:rsidRDefault="004F616A" w:rsidP="004F616A">
      <w:pPr>
        <w:spacing w:after="120" w:line="360" w:lineRule="auto"/>
        <w:ind w:firstLine="720"/>
        <w:jc w:val="both"/>
        <w:rPr>
          <w:rFonts w:cs="Times New Roman"/>
        </w:rPr>
      </w:pPr>
      <w:r w:rsidRPr="000F3293">
        <w:rPr>
          <w:rFonts w:cs="Times New Roman"/>
        </w:rPr>
        <w:t xml:space="preserve">Ως προς τη διοίκηση, το Βρετανικό Μουσείο είναι θεσμικά σύνθετο. Η επίσημη σελίδα για τη διακυβέρνηση αναφέρει ότι το μουσείο ιδρύθηκε με νόμο του Κοινοβουλίου το 1753 και σήμερα </w:t>
      </w:r>
      <w:proofErr w:type="spellStart"/>
      <w:r w:rsidRPr="000F3293">
        <w:rPr>
          <w:rFonts w:cs="Times New Roman"/>
        </w:rPr>
        <w:t>διέπεται</w:t>
      </w:r>
      <w:proofErr w:type="spellEnd"/>
      <w:r w:rsidRPr="000F3293">
        <w:rPr>
          <w:rFonts w:cs="Times New Roman"/>
        </w:rPr>
        <w:t xml:space="preserve"> από τον Νόμο περί Βρετανικού Μουσείου του 1963. Παράλληλα, είναι εξαιρούμενο κοινωφελές ίδρυμα κατά τον Νόμο περί Φιλανθρωπικών Ιδρυμάτων του 2011 και δημόσιος φορέας που δεν υπάγεται απευθείας σε υπουργική διεύθυνση, λειτουργεί με διοικητική απόσταση από την κυβέρνηση, αλλά λογοδοτεί στο Κοινοβούλιο και χρηματοδοτείται από το Υπουργείο Πολιτισμού, Μέσων και Αθλητισμού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a</w:t>
      </w:r>
      <w:r w:rsidRPr="000F3293">
        <w:rPr>
          <w:rFonts w:cs="Times New Roman"/>
        </w:rPr>
        <w:t>). Η ετήσια έκθεση 2024 έως 2025 συμπληρώνει ότι το μουσείο είναι εκτελεστικός δημόσιος φορέας που δεν υπάγεται απευθείας σε υπουργική διεύθυνση, ότι λαμβάνει κρατική επιχορήγηση σε συνδυασμό με ιδιωτικά και εμπορικά έσοδα και ότι το διοικητικό του όργανο είναι το Διοικητικό Συμβούλιο Επιτρόπων, τα μέλη του οποίου είναι μη εκτελεστικά και άμισθα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2025</w:t>
      </w:r>
      <w:r w:rsidRPr="000F3293">
        <w:rPr>
          <w:rFonts w:cs="Times New Roman"/>
          <w:lang w:val="en-US"/>
        </w:rPr>
        <w:t>a</w:t>
      </w:r>
      <w:r w:rsidRPr="000F3293">
        <w:rPr>
          <w:rFonts w:cs="Times New Roman"/>
        </w:rPr>
        <w:t xml:space="preserve">). Πρόεδρος των Επιτρόπων είναι ο </w:t>
      </w:r>
      <w:r w:rsidRPr="000F3293">
        <w:rPr>
          <w:rFonts w:cs="Times New Roman"/>
          <w:lang w:val="en-US"/>
        </w:rPr>
        <w:t>George</w:t>
      </w:r>
      <w:r w:rsidRPr="000F3293">
        <w:rPr>
          <w:rFonts w:cs="Times New Roman"/>
        </w:rPr>
        <w:t xml:space="preserve"> </w:t>
      </w:r>
      <w:r w:rsidRPr="000F3293">
        <w:rPr>
          <w:rFonts w:cs="Times New Roman"/>
          <w:lang w:val="en-US"/>
        </w:rPr>
        <w:t>Osborne</w:t>
      </w:r>
      <w:r w:rsidRPr="000F3293">
        <w:rPr>
          <w:rFonts w:cs="Times New Roman"/>
        </w:rPr>
        <w:t xml:space="preserve"> και Διευθυντής ο </w:t>
      </w:r>
      <w:r w:rsidRPr="000F3293">
        <w:rPr>
          <w:rFonts w:cs="Times New Roman"/>
          <w:lang w:val="en-US"/>
        </w:rPr>
        <w:t>Nicholas</w:t>
      </w:r>
      <w:r w:rsidRPr="000F3293">
        <w:rPr>
          <w:rFonts w:cs="Times New Roman"/>
        </w:rPr>
        <w:t xml:space="preserve"> </w:t>
      </w:r>
      <w:r w:rsidRPr="000F3293">
        <w:rPr>
          <w:rFonts w:cs="Times New Roman"/>
          <w:lang w:val="en-US"/>
        </w:rPr>
        <w:t>Cullinan</w:t>
      </w:r>
      <w:r w:rsidRPr="000F3293">
        <w:rPr>
          <w:rFonts w:cs="Times New Roman"/>
        </w:rPr>
        <w:t>, ο οποίος ανέλαβε καθήκοντα τον Ιούνιο του 2024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2025</w:t>
      </w:r>
      <w:r w:rsidRPr="000F3293">
        <w:rPr>
          <w:rFonts w:cs="Times New Roman"/>
          <w:lang w:val="en-US"/>
        </w:rPr>
        <w:t>a</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a</w:t>
      </w:r>
      <w:r w:rsidRPr="000F3293">
        <w:rPr>
          <w:rFonts w:cs="Times New Roman"/>
        </w:rPr>
        <w:t xml:space="preserve">). Η σημασία αυτής της δομής είναι </w:t>
      </w:r>
      <w:r w:rsidRPr="000F3293">
        <w:rPr>
          <w:rFonts w:cs="Times New Roman"/>
        </w:rPr>
        <w:lastRenderedPageBreak/>
        <w:t>καθοριστική. Η κυβέρνηση συστηματικά δηλώνει ότι οι αποφάσεις για τις συλλογές ανήκουν στους Επιτρόπους εντός του ισχύοντος νόμου, γεγονός που επιτρέπει πολιτική αποστασιοποίηση χωρίς ουσιαστική απεμπλοκή του κράτους από το θεσμικό αποτέλεσμα (</w:t>
      </w:r>
      <w:r w:rsidRPr="000F3293">
        <w:rPr>
          <w:rFonts w:cs="Times New Roman"/>
          <w:lang w:val="en-US"/>
        </w:rPr>
        <w:t>UK</w:t>
      </w:r>
      <w:r w:rsidRPr="000F3293">
        <w:rPr>
          <w:rFonts w:cs="Times New Roman"/>
        </w:rPr>
        <w:t xml:space="preserve"> </w:t>
      </w:r>
      <w:r w:rsidRPr="000F3293">
        <w:rPr>
          <w:rFonts w:cs="Times New Roman"/>
          <w:lang w:val="en-US"/>
        </w:rPr>
        <w:t>Parliament</w:t>
      </w:r>
      <w:r w:rsidRPr="000F3293">
        <w:rPr>
          <w:rFonts w:cs="Times New Roman"/>
        </w:rPr>
        <w:t>, 2025</w:t>
      </w:r>
      <w:r w:rsidRPr="000F3293">
        <w:rPr>
          <w:rFonts w:cs="Times New Roman"/>
          <w:lang w:val="en-US"/>
        </w:rPr>
        <w:t>a</w:t>
      </w:r>
      <w:r w:rsidRPr="000F3293">
        <w:rPr>
          <w:rFonts w:cs="Times New Roman"/>
        </w:rPr>
        <w:t>, 2025</w:t>
      </w:r>
      <w:r w:rsidRPr="000F3293">
        <w:rPr>
          <w:rFonts w:cs="Times New Roman"/>
          <w:lang w:val="en-US"/>
        </w:rPr>
        <w:t>b</w:t>
      </w:r>
      <w:r w:rsidRPr="000F3293">
        <w:rPr>
          <w:rFonts w:cs="Times New Roman"/>
        </w:rPr>
        <w:t>).</w:t>
      </w:r>
    </w:p>
    <w:p w14:paraId="31652983" w14:textId="77777777" w:rsidR="004F616A" w:rsidRPr="000F3293" w:rsidRDefault="004F616A" w:rsidP="004F616A">
      <w:pPr>
        <w:spacing w:after="120" w:line="360" w:lineRule="auto"/>
        <w:ind w:firstLine="720"/>
        <w:jc w:val="both"/>
        <w:rPr>
          <w:rFonts w:cs="Times New Roman"/>
        </w:rPr>
      </w:pPr>
      <w:r w:rsidRPr="000F3293">
        <w:rPr>
          <w:rFonts w:cs="Times New Roman"/>
        </w:rPr>
        <w:t xml:space="preserve">Η διακυβέρνηση αυτή συνδέεται άμεσα με το νομικό επιχείρημα της μη επιστροφής. Το Βρετανικό Μουσείο προβάλλει ότι τα Γλυπτά του Παρθενώνα αποκτήθηκαν νομίμως. Στην επίσημη παρουσίασή του αναφέρει ότι ο </w:t>
      </w:r>
      <w:proofErr w:type="spellStart"/>
      <w:r w:rsidRPr="000F3293">
        <w:rPr>
          <w:rFonts w:cs="Times New Roman"/>
        </w:rPr>
        <w:t>Έλγιν</w:t>
      </w:r>
      <w:proofErr w:type="spellEnd"/>
      <w:r w:rsidRPr="000F3293">
        <w:rPr>
          <w:rFonts w:cs="Times New Roman"/>
        </w:rPr>
        <w:t xml:space="preserve"> έλαβε άδεια, ότι ενήργησε υπό την εποπτεία των τότε αρμόδιων αρχών και ότι οι πράξεις του ελέγχθηκαν από Κοινοβουλευτική Εξεταστική Επιτροπή το 1816 και κρίθηκαν απολύτως νόμιμες, πριν τα γλυπτά εισέλθουν στις συλλογές του μουσείου με νόμο του Κοινοβουλίου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b</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Με αυτόν τον τρόπο, το ίδρυμα επιχειρεί να στηρίξει τη σημερινή κατοχή του σε μια αλυσίδα ιστορικής νομιμότητας που ξεκινά από την Οθωμανική διοίκηση και καταλήγει στη βρετανική κοινοβουλευτική κύρωση. Η ελληνική και διεθνής κριτική, βεβαίως, αμφισβητεί τόσο το εύρος όσο και τη νομιμοποιητική επάρκεια του περίφημου φιρμανιού, καθώς και το κατά πόσο μια πράξη που έλαβε χώρα υπό συνθήκες ξένης κυριαρχίας μπορεί να θεωρηθεί νομικά και ηθικά επαρκής σήμερα. Ωστόσο, για το μουσείο, το κρίσιμο σημείο είναι ότι η ιστορική νομιμότητα παρουσιάζεται όχι ως αμφισβητήσιμη ερμηνεία, αλλά ως θεσμικά παγιωμένο γεγονός (</w:t>
      </w:r>
      <w:r w:rsidRPr="000F3293">
        <w:rPr>
          <w:rFonts w:cs="Times New Roman"/>
          <w:lang w:val="en-US"/>
        </w:rPr>
        <w:t>Greenfield</w:t>
      </w:r>
      <w:r w:rsidRPr="000F3293">
        <w:rPr>
          <w:rFonts w:cs="Times New Roman"/>
        </w:rPr>
        <w:t xml:space="preserve">, 2007, </w:t>
      </w:r>
      <w:proofErr w:type="spellStart"/>
      <w:r w:rsidRPr="000F3293">
        <w:rPr>
          <w:rFonts w:cs="Times New Roman"/>
          <w:lang w:val="en-US"/>
        </w:rPr>
        <w:t>Stamatoudi</w:t>
      </w:r>
      <w:proofErr w:type="spellEnd"/>
      <w:r w:rsidRPr="000F3293">
        <w:rPr>
          <w:rFonts w:cs="Times New Roman"/>
        </w:rPr>
        <w:t xml:space="preserve">, 2022,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w:t>
      </w:r>
    </w:p>
    <w:p w14:paraId="0EE2FDE6" w14:textId="77777777" w:rsidR="004F616A" w:rsidRPr="000F3293" w:rsidRDefault="004F616A" w:rsidP="004F616A">
      <w:pPr>
        <w:spacing w:after="120" w:line="360" w:lineRule="auto"/>
        <w:ind w:firstLine="720"/>
        <w:jc w:val="both"/>
        <w:rPr>
          <w:rFonts w:cs="Times New Roman"/>
        </w:rPr>
      </w:pPr>
      <w:r w:rsidRPr="000F3293">
        <w:rPr>
          <w:rFonts w:cs="Times New Roman"/>
        </w:rPr>
        <w:t xml:space="preserve">Παράλληλα, το Βρετανικό Μουσείο προβάλλει το επιχείρημα του δημόσιου οφέλους. Η δήλωση των Επιτρόπων τονίζει ότι τα γλυπτά στην Αθήνα και στο Λονδίνο παρέχουν διαφορετικές αλλά συμπληρωματικές αφηγήσεις και ότι υπάρχει «θετικό πλεονέκτημα και δημόσιο όφελος» στο να παραμένουν μοιρασμένα ανάμεσα σε δύο μεγάλα μουσεία. Σε αυτό το σχήμα, η Αθήνα προσφέρει την εμπειρία του τοπικού και μνημειακού </w:t>
      </w:r>
      <w:proofErr w:type="spellStart"/>
      <w:r w:rsidRPr="000F3293">
        <w:rPr>
          <w:rFonts w:cs="Times New Roman"/>
        </w:rPr>
        <w:t>συμφραζομένου</w:t>
      </w:r>
      <w:proofErr w:type="spellEnd"/>
      <w:r w:rsidRPr="000F3293">
        <w:rPr>
          <w:rFonts w:cs="Times New Roman"/>
        </w:rPr>
        <w:t>, ενώ το Λονδίνο προσφέρει την εμπειρία της διασταύρωσης του ελληνικού πολιτισμού με άλλους πολιτισμούς της Μεσογείου και της Εγγύς Ανατολής μέσα σε μια παγκόσμια συλλογή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xml:space="preserve">). Πρόκειται για κλασική εφαρμογή της διεθνιστικής λογικής που έχει αναπτύξει ο </w:t>
      </w:r>
      <w:r w:rsidRPr="000F3293">
        <w:rPr>
          <w:rFonts w:cs="Times New Roman"/>
          <w:lang w:val="en-US"/>
        </w:rPr>
        <w:t>Merryman</w:t>
      </w:r>
      <w:r w:rsidRPr="000F3293">
        <w:rPr>
          <w:rFonts w:cs="Times New Roman"/>
        </w:rPr>
        <w:t xml:space="preserve"> και έχει υπερασπιστεί ο </w:t>
      </w:r>
      <w:r w:rsidRPr="000F3293">
        <w:rPr>
          <w:rFonts w:cs="Times New Roman"/>
          <w:lang w:val="en-US"/>
        </w:rPr>
        <w:t>Cuno</w:t>
      </w:r>
      <w:r w:rsidRPr="000F3293">
        <w:rPr>
          <w:rFonts w:cs="Times New Roman"/>
        </w:rPr>
        <w:t xml:space="preserve"> υπό τη μορφή του εγκυκλοπαιδικού ή οικουμενικού μουσείου. Η κληρονομιά νοείται ως κοινό ανθρώπινο απόθεμα και η μουσειακή νομιμοποίηση συνδέεται με τη δυνατότητα ευρύτερης, συγκριτικής και παγκόσμιας πρόσβασης (</w:t>
      </w:r>
      <w:r w:rsidRPr="000F3293">
        <w:rPr>
          <w:rFonts w:cs="Times New Roman"/>
          <w:lang w:val="en-US"/>
        </w:rPr>
        <w:t>Merryman</w:t>
      </w:r>
      <w:r w:rsidRPr="000F3293">
        <w:rPr>
          <w:rFonts w:cs="Times New Roman"/>
        </w:rPr>
        <w:t xml:space="preserve">, 2005, </w:t>
      </w:r>
      <w:r w:rsidRPr="000F3293">
        <w:rPr>
          <w:rFonts w:cs="Times New Roman"/>
          <w:lang w:val="en-US"/>
        </w:rPr>
        <w:t>Cuno</w:t>
      </w:r>
      <w:r w:rsidRPr="000F3293">
        <w:rPr>
          <w:rFonts w:cs="Times New Roman"/>
        </w:rPr>
        <w:t>, 2011).</w:t>
      </w:r>
    </w:p>
    <w:p w14:paraId="46A27167" w14:textId="77777777" w:rsidR="004F616A" w:rsidRPr="000F3293" w:rsidRDefault="004F616A" w:rsidP="004F616A">
      <w:pPr>
        <w:spacing w:after="120" w:line="360" w:lineRule="auto"/>
        <w:ind w:firstLine="720"/>
        <w:jc w:val="both"/>
        <w:rPr>
          <w:rFonts w:cs="Times New Roman"/>
        </w:rPr>
      </w:pPr>
      <w:r w:rsidRPr="000F3293">
        <w:rPr>
          <w:rFonts w:cs="Times New Roman"/>
        </w:rPr>
        <w:lastRenderedPageBreak/>
        <w:t>Το ενδιαφέρον εδώ είναι ότι το Βρετανικό Μουσείο έχει προσαρμόσει την επιχειρηματολογία του σε σχέση με παλαιότερες πιο αμυντικές θέσεις. Η σημερινή γραμμή του αποφεύγει σε μεγάλο βαθμό να ισχυριστεί ότι η Ελλάδα δεν μπορεί να συντηρήσει ή να εκθέσει τα γλυπτά. Αντιθέτως, οι Επίτροποι δηλώνουν ρητά ότι οι συνάδελφοί τους στην Αθήνα είναι απολύτως ικανοί να διατηρούν και να εκθέτουν το υλικό που φροντίζουν και ότι δεν υποστηρίζουν πως δεν υπάρχει κατάλληλος χώρος στην Ελλάδα. Αυτό είναι εξαιρετικά σημαντικό, διότι δείχνει ότι το επιχείρημα της τεχνικής ανεπάρκειας έχει ουσιαστικά εγκαταλειφθεί μετά τη λειτουργία του Μουσείου Ακρόπολης. Η σύγκρουση έχει μετατοπιστεί καθαρά στο πεδίο της ιδιοκτησίας, της νομιμότητας, του δημόσιου οφέλους και της παγκόσμιας αφήγησης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Η αλλαγή αυτή, όμως, δεν κάνει τη βρετανική θέση ασθενέστερη. Την καθιστά πιο εκλεπτυσμένη, επειδή αποφεύγει εύκολα απορριπτέα επιχειρήματα και εστιάζει σε εκείνα που έχουν μεγαλύτερη θεσμική αντοχή.</w:t>
      </w:r>
    </w:p>
    <w:p w14:paraId="4BCFC834" w14:textId="77777777" w:rsidR="00221736" w:rsidRPr="000F3293" w:rsidRDefault="00000000" w:rsidP="008E48E5">
      <w:pPr>
        <w:spacing w:line="360" w:lineRule="auto"/>
        <w:ind w:firstLine="720"/>
        <w:jc w:val="both"/>
      </w:pPr>
      <w:r w:rsidRPr="000F3293">
        <w:t>Από την ελληνική πλευρά, αξίζει να σημειωθεί ότι η διεκδίκηση δεν περιορίζεται στα Γλυπτά του Παρθενώνα. Η Ελλάδα έχει επανειλημμένα ζητήσει και την επιστροφή μίας εκ των Καρυάτιδων του Ερεχθείου, την οποία κατέχει επίσης το Βρετανικό Μουσείο και η οποία παρουσιάζεται αποσπασμένη από το αρχιτεκτονικό της σύνολο, ενώ οι υπόλοιπες εκτίθενται στο Μουσείο Ακρόπολης. Το ζήτημα της Καρυάτιδας έχει λάβει μεγάλη προβολή στα μέσα ενημέρωσης και στο διαδίκτυο και ενισχύει, σε συμβολικό και επικοινωνιακό επίπεδο, το γενικότερο επιχείρημα της ακεραιότητας και της επανένωσης διασκορπισμένων μνημειακών συνόλων.</w:t>
      </w:r>
    </w:p>
    <w:p w14:paraId="028F2131" w14:textId="07403E4B" w:rsidR="004F616A" w:rsidRPr="000F3293" w:rsidRDefault="004F616A" w:rsidP="004F616A">
      <w:pPr>
        <w:spacing w:after="120" w:line="360" w:lineRule="auto"/>
        <w:ind w:firstLine="720"/>
        <w:jc w:val="both"/>
        <w:rPr>
          <w:rFonts w:cs="Times New Roman"/>
        </w:rPr>
      </w:pPr>
      <w:r w:rsidRPr="000F3293">
        <w:rPr>
          <w:rFonts w:cs="Times New Roman"/>
        </w:rPr>
        <w:t>Ένα τρίτο βασικό στοιχείο είναι ο χειρισμός του δανεισμού. Το μουσείο επιμένει ότι δεν έχει λάβει ποτέ αίτημα δανεισμού από την Ελλάδα, αλλά αίτημα οριστικής επιστροφής. Δηλώνει ότι θα εξετάσει οποιοδήποτε αίτημα δανεισμού, εφόσον, όμως, ο δανειζόμενος αναγνωρίσει την ιδιοκτησία του Βρετανικού Μουσείου επί του αντικειμένου και δεσμευθεί για την επιστροφή του στο τέλος της περιόδου δανεισμού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b</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Αυτό το σημείο είναι κομβικό. Η προσφορά δανεισμού παρουσιάζεται συχνά ως ένδειξη ευελιξίας ή καλής θέλησης, αλλά στην πραγματικότητα λειτουργεί ως μηχανισμός θεσμικής αναπαραγωγής του τίτλου κυριότητας. Ακριβώς γι’ αυτό η ελληνική πλευρά απορρίπτει τη γλώσσα του δανεισμού, διότι μια τέτοια διευθέτηση θα συνεπαγόταν εκ των πραγμάτων αναγνώριση της βρετανικής ιδιοκτησίας, άρα θα υπονόμευε τον ίδιο τον πυρήνα του αιτήματος επανένωσης (</w:t>
      </w:r>
      <w:proofErr w:type="spellStart"/>
      <w:r w:rsidRPr="000F3293">
        <w:rPr>
          <w:rFonts w:cs="Times New Roman"/>
          <w:lang w:val="en-US"/>
        </w:rPr>
        <w:t>Stamatoudi</w:t>
      </w:r>
      <w:proofErr w:type="spellEnd"/>
      <w:r w:rsidRPr="000F3293">
        <w:rPr>
          <w:rFonts w:cs="Times New Roman"/>
        </w:rPr>
        <w:t>, 2022).</w:t>
      </w:r>
    </w:p>
    <w:p w14:paraId="02C98E57" w14:textId="77777777" w:rsidR="004F616A" w:rsidRPr="000F3293" w:rsidRDefault="004F616A" w:rsidP="004F616A">
      <w:pPr>
        <w:spacing w:after="120" w:line="360" w:lineRule="auto"/>
        <w:ind w:firstLine="720"/>
        <w:jc w:val="both"/>
        <w:rPr>
          <w:rFonts w:cs="Times New Roman"/>
        </w:rPr>
      </w:pPr>
      <w:r w:rsidRPr="000F3293">
        <w:rPr>
          <w:rFonts w:cs="Times New Roman"/>
        </w:rPr>
        <w:lastRenderedPageBreak/>
        <w:t>Σε αυτό το σημείο εμφανίζεται και η σημασία του ισχύοντος νομοθετικού πλαισίου. Τον Ιούλιο του 2025, η βρετανική κυβέρνηση επανέλαβε επίσημα στη Βουλή των Λόρδων ότι δεν προτίθεται να αλλάξει τη νομοθεσία ώστε να επιτραπεί η επιστροφή αντικειμένων, συμπεριλαμβανομένων των Γλυπτών του Παρθενώνα. Στην ίδια συζήτηση αναφέρθηκε ότι τα εθνικά μουσεία εμποδίζονται από τη νομοθεσία να αφαιρούν αντικείμενα από τις συλλογές τους, εκτός αν πρόκειται γενικά για διπλότυπα ή για αντικείμενα ακατάλληλα προς διατήρηση, με δύο εξαιρέσεις, ανθρώπινα κατάλοιπα ηλικίας μικρότερης των χιλίων ετών και αντικείμενα λεηλατημένα από τους Ναζί. Η κυβέρνηση δήλωσε ακόμη ότι το Βρετανικό Μουσείο λειτουργεί ανεξάρτητα, αλλά και ότι δεν υπάρχουν σχέδια νομοθετικής αλλαγής, μολονότι το μουσείο εξετάζει την πιθανότητα μιας «νέας προσέγγισης συνεργασίας» με την Ελλάδα (</w:t>
      </w:r>
      <w:r w:rsidRPr="000F3293">
        <w:rPr>
          <w:rFonts w:cs="Times New Roman"/>
          <w:lang w:val="en-US"/>
        </w:rPr>
        <w:t>UK</w:t>
      </w:r>
      <w:r w:rsidRPr="000F3293">
        <w:rPr>
          <w:rFonts w:cs="Times New Roman"/>
        </w:rPr>
        <w:t xml:space="preserve"> </w:t>
      </w:r>
      <w:r w:rsidRPr="000F3293">
        <w:rPr>
          <w:rFonts w:cs="Times New Roman"/>
          <w:lang w:val="en-US"/>
        </w:rPr>
        <w:t>Parliament</w:t>
      </w:r>
      <w:r w:rsidRPr="000F3293">
        <w:rPr>
          <w:rFonts w:cs="Times New Roman"/>
        </w:rPr>
        <w:t>, 2025</w:t>
      </w:r>
      <w:r w:rsidRPr="000F3293">
        <w:rPr>
          <w:rFonts w:cs="Times New Roman"/>
          <w:lang w:val="en-US"/>
        </w:rPr>
        <w:t>b</w:t>
      </w:r>
      <w:r w:rsidRPr="000F3293">
        <w:rPr>
          <w:rFonts w:cs="Times New Roman"/>
        </w:rPr>
        <w:t>). Αυτή η θέση έχει διπλή λειτουργία. Από τη μία, προσφέρει στους Επιτρόπους ένα θεσμικό καταφύγιο, αφού η μόνιμη επιστροφή εμφανίζεται ως νομικά δυσχερής. Από την άλλη, επιτρέπει στην κυβέρνηση να αναγνωρίζει τη δύναμη του ελληνικού αιτήματος χωρίς να αναλαμβάνει το πολιτικό κόστος μιας μεταρρύθμισης.</w:t>
      </w:r>
    </w:p>
    <w:p w14:paraId="096647C5" w14:textId="77777777" w:rsidR="004F616A" w:rsidRPr="000F3293" w:rsidRDefault="004F616A" w:rsidP="004F616A">
      <w:pPr>
        <w:spacing w:after="120" w:line="360" w:lineRule="auto"/>
        <w:ind w:firstLine="720"/>
        <w:jc w:val="both"/>
        <w:rPr>
          <w:rFonts w:cs="Times New Roman"/>
        </w:rPr>
      </w:pPr>
      <w:r w:rsidRPr="000F3293">
        <w:rPr>
          <w:rFonts w:cs="Times New Roman"/>
        </w:rPr>
        <w:t>Η επίσημη γλώσσα του μουσείου γύρω από τη συνεργασία είναι επίσης αποκαλυπτική. Στη σελίδα για τα Γλυπτά του Παρθενώνα σημειώνεται ότι το μουσείο έχει καλέσει σε μια «νέα εταιρική σχέση για τον Παρθενώνα», ότι οι συζητήσεις με τους Έλληνες συναδέλφους συνεχίζονται και ότι υπάρχει καλό επαγγελματικό κλίμα με το Μουσείο Ακρόπολης, μέσα από επιστημονικά εργαστήρια, τοποθετήσεις προσωπικού και ανταλλαγή γνώσης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b</w:t>
      </w:r>
      <w:r w:rsidRPr="000F3293">
        <w:rPr>
          <w:rFonts w:cs="Times New Roman"/>
        </w:rPr>
        <w:t>). Αυτή η ρητορική επιδιώκει να αποσυνδέσει την πολιτική αντιπαράθεση από τις καθημερινές επαγγελματικές σχέσεις, προβάλλοντας το ίδρυμα ως ανοιχτό στη συνεργασία, ακόμη και όταν παραμένει αμετακίνητο στο ζήτημα της κυριότητας. Σε επίπεδο δημόσιας εικόνας, αυτό είναι εξαιρετικά λειτουργικό. Το μουσείο δεν εμφανίζεται ως άκαμπτος αρνητής διαλόγου, αλλά ως πρόθυμος συνομιλητής που δεσμεύεται, ωστόσο, από τον νόμο, την ιστορία και τη θεσμική ευθύνη. Πρόκειται για τυπική στρατηγική πλαισίωσης, όπου η ακινησία αναπαρίσταται ως υπεύθυνη διαχείριση και όχι ως πεισματική άρνηση.</w:t>
      </w:r>
    </w:p>
    <w:p w14:paraId="33DC11D5" w14:textId="77777777" w:rsidR="004F616A" w:rsidRPr="000F3293" w:rsidRDefault="004F616A" w:rsidP="004F616A">
      <w:pPr>
        <w:spacing w:after="120" w:line="360" w:lineRule="auto"/>
        <w:ind w:firstLine="720"/>
        <w:jc w:val="both"/>
        <w:rPr>
          <w:rFonts w:cs="Times New Roman"/>
        </w:rPr>
      </w:pPr>
      <w:r w:rsidRPr="000F3293">
        <w:rPr>
          <w:rFonts w:cs="Times New Roman"/>
        </w:rPr>
        <w:t xml:space="preserve">Οι φωνές που συγκροτούν και αναπαράγουν αυτή τη θέση είναι πολλές. Πρώτα από όλα, οι Επίτροποι, οι οποίοι φέρουν τη θεσμική ευθύνη για τη συλλογή. Δεύτερον, η βρετανική κυβέρνηση, η οποία επιβεβαιώνει ότι δεν θα αλλάξει το νομικό πλαίσιο. Τρίτον, ένα τμήμα της ακαδημαϊκής και δημόσιας συζήτησης που υπερασπίζεται το οικουμενικό μουσείο, τη διασπορά </w:t>
      </w:r>
      <w:r w:rsidRPr="000F3293">
        <w:rPr>
          <w:rFonts w:cs="Times New Roman"/>
        </w:rPr>
        <w:lastRenderedPageBreak/>
        <w:t xml:space="preserve">των αντικειμένων σε διαφορετικά μουσεία και την αξία της παγκόσμιας πρόσβασης. Σε αυτό το στρατόπεδο εντάσσονται οι κλασικές διεθνιστικές παρεμβάσεις του </w:t>
      </w:r>
      <w:r w:rsidRPr="000F3293">
        <w:rPr>
          <w:rFonts w:cs="Times New Roman"/>
          <w:lang w:val="en-US"/>
        </w:rPr>
        <w:t>Merryman</w:t>
      </w:r>
      <w:r w:rsidRPr="000F3293">
        <w:rPr>
          <w:rFonts w:cs="Times New Roman"/>
        </w:rPr>
        <w:t xml:space="preserve"> και οι σύγχρονες υπερασπίσεις των εγκυκλοπαιδικών μουσείων από τον </w:t>
      </w:r>
      <w:r w:rsidRPr="000F3293">
        <w:rPr>
          <w:rFonts w:cs="Times New Roman"/>
          <w:lang w:val="en-US"/>
        </w:rPr>
        <w:t>Cuno</w:t>
      </w:r>
      <w:r w:rsidRPr="000F3293">
        <w:rPr>
          <w:rFonts w:cs="Times New Roman"/>
        </w:rPr>
        <w:t>, αλλά και η πρακτική ρητορική του ίδιου του μουσείου, το οποίο παρουσιάζει τα γλυπτά ως μέρος μιας αφήγησης για τη διασυνδεδεμένη ανθρωπότητα (</w:t>
      </w:r>
      <w:r w:rsidRPr="000F3293">
        <w:rPr>
          <w:rFonts w:cs="Times New Roman"/>
          <w:lang w:val="en-US"/>
        </w:rPr>
        <w:t>Merryman</w:t>
      </w:r>
      <w:r w:rsidRPr="000F3293">
        <w:rPr>
          <w:rFonts w:cs="Times New Roman"/>
        </w:rPr>
        <w:t xml:space="preserve">, 2005, </w:t>
      </w:r>
      <w:r w:rsidRPr="000F3293">
        <w:rPr>
          <w:rFonts w:cs="Times New Roman"/>
          <w:lang w:val="en-US"/>
        </w:rPr>
        <w:t>Cuno</w:t>
      </w:r>
      <w:r w:rsidRPr="000F3293">
        <w:rPr>
          <w:rFonts w:cs="Times New Roman"/>
        </w:rPr>
        <w:t xml:space="preserve">, 2011,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xml:space="preserve">). Ταυτόχρονα, δεν πρέπει να </w:t>
      </w:r>
      <w:proofErr w:type="spellStart"/>
      <w:r w:rsidRPr="000F3293">
        <w:rPr>
          <w:rFonts w:cs="Times New Roman"/>
        </w:rPr>
        <w:t>παραβλέπεται</w:t>
      </w:r>
      <w:proofErr w:type="spellEnd"/>
      <w:r w:rsidRPr="000F3293">
        <w:rPr>
          <w:rFonts w:cs="Times New Roman"/>
        </w:rPr>
        <w:t xml:space="preserve"> το θεσμικό συμφέρον του ίδιου του μουσείου. Τα Γλυπτά του Παρθενώνα είναι από τα πιο εμβληματικά, αναγνωρίσιμα και επισκέψιμα αντικείμενα του οργανισμού. Συνεπώς, η παραμονή τους στο Λονδίνο ενισχύει όχι μόνο τη θεωρία του οικουμενικού μουσείου, αλλά και το συμβολικό κεφάλαιο του ίδιου του ιδρύματος.</w:t>
      </w:r>
    </w:p>
    <w:p w14:paraId="1CEF48E0" w14:textId="77777777" w:rsidR="000B0296" w:rsidRPr="000F3293" w:rsidRDefault="00CF49B3" w:rsidP="004F616A">
      <w:pPr>
        <w:spacing w:after="120" w:line="360" w:lineRule="auto"/>
        <w:ind w:firstLine="720"/>
        <w:jc w:val="both"/>
        <w:rPr>
          <w:rFonts w:cs="Times New Roman"/>
        </w:rPr>
      </w:pPr>
      <w:r w:rsidRPr="000F3293">
        <w:rPr>
          <w:rFonts w:cs="Times New Roman"/>
        </w:rPr>
        <w:t xml:space="preserve">Η </w:t>
      </w:r>
      <w:proofErr w:type="spellStart"/>
      <w:r w:rsidRPr="000F3293">
        <w:rPr>
          <w:rFonts w:cs="Times New Roman"/>
        </w:rPr>
        <w:t>χρονογραμμή</w:t>
      </w:r>
      <w:proofErr w:type="spellEnd"/>
      <w:r w:rsidRPr="000F3293">
        <w:rPr>
          <w:rFonts w:cs="Times New Roman"/>
        </w:rPr>
        <w:t xml:space="preserve"> της υπόθεσης, όπως την παρουσιάζει το ίδιο το μουσείο, είναι εξίσου διδακτική. Πρώτο κομβικό σημείο είναι η αφαίρεση των γλυπτών μεταξύ 1801 και 1805 και η κοινοβουλευτική έρευνα του 1816 που ενσωματώθηκε στην επίσημη ιστορική του αφήγηση ως πηγή νομιμότητας. Δεύτερο, η διατύπωση ότι το πρώτο επίσημο αίτημα μόνιμης επιστροφής υποβλήθηκε το 1983. Τρίτο, η διαρκής επανάληψη ότι από τότε υπήρξαν συναντήσεις και συζητήσεις, χωρίς να μεταβληθεί ο πυρήνας της θεσμικής θέσης. Τέταρτο, η διακήρυξη της «</w:t>
      </w:r>
      <w:proofErr w:type="spellStart"/>
      <w:r w:rsidRPr="000F3293">
        <w:rPr>
          <w:rFonts w:cs="Times New Roman"/>
        </w:rPr>
        <w:t>new</w:t>
      </w:r>
      <w:proofErr w:type="spellEnd"/>
      <w:r w:rsidRPr="000F3293">
        <w:rPr>
          <w:rFonts w:cs="Times New Roman"/>
        </w:rPr>
        <w:t xml:space="preserve"> </w:t>
      </w:r>
      <w:proofErr w:type="spellStart"/>
      <w:r w:rsidRPr="000F3293">
        <w:rPr>
          <w:rFonts w:cs="Times New Roman"/>
        </w:rPr>
        <w:t>Parthenon</w:t>
      </w:r>
      <w:proofErr w:type="spellEnd"/>
      <w:r w:rsidRPr="000F3293">
        <w:rPr>
          <w:rFonts w:cs="Times New Roman"/>
        </w:rPr>
        <w:t xml:space="preserve"> </w:t>
      </w:r>
      <w:proofErr w:type="spellStart"/>
      <w:r w:rsidRPr="000F3293">
        <w:rPr>
          <w:rFonts w:cs="Times New Roman"/>
        </w:rPr>
        <w:t>partnership</w:t>
      </w:r>
      <w:proofErr w:type="spellEnd"/>
      <w:r w:rsidRPr="000F3293">
        <w:rPr>
          <w:rFonts w:cs="Times New Roman"/>
        </w:rPr>
        <w:t xml:space="preserve">», η οποία λειτουργεί ως γλώσσα γεφύρωσης χωρίς επίλυση. Πέμπτο, η κοινοβουλευτική τοποθέτηση του 2025 ότι δεν θα υπάρξει νομοθετική τροποποίηση για επιστροφή (British </w:t>
      </w:r>
      <w:proofErr w:type="spellStart"/>
      <w:r w:rsidRPr="000F3293">
        <w:rPr>
          <w:rFonts w:cs="Times New Roman"/>
        </w:rPr>
        <w:t>Museum</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.-b, UK </w:t>
      </w:r>
      <w:proofErr w:type="spellStart"/>
      <w:r w:rsidRPr="000F3293">
        <w:rPr>
          <w:rFonts w:cs="Times New Roman"/>
        </w:rPr>
        <w:t>Parliament</w:t>
      </w:r>
      <w:proofErr w:type="spellEnd"/>
      <w:r w:rsidRPr="000F3293">
        <w:rPr>
          <w:rFonts w:cs="Times New Roman"/>
        </w:rPr>
        <w:t>, 2025a, 2025b). Η αλληλουχία αυτή δείχνει ότι το μουσείο έχει αναπτύξει μια στρατηγική αντοχής. Αντί να επιδιώκει οριστική διευθέτηση, επενδύει σε διαχείριση της μακράς διάρκειας, όπου οι συζητήσεις συνεχίζονται, αλλά οι προϋποθέσεις ουσιαστικής επιστροφής παραμένουν απαγορευτικές.</w:t>
      </w:r>
    </w:p>
    <w:p w14:paraId="742F556E" w14:textId="77777777" w:rsidR="000B0296" w:rsidRPr="000F3293" w:rsidRDefault="00CF49B3" w:rsidP="004F616A">
      <w:pPr>
        <w:spacing w:after="120" w:line="360" w:lineRule="auto"/>
        <w:ind w:firstLine="720"/>
        <w:jc w:val="both"/>
        <w:rPr>
          <w:rFonts w:cs="Times New Roman"/>
        </w:rPr>
      </w:pPr>
      <w:r w:rsidRPr="000F3293">
        <w:rPr>
          <w:rFonts w:cs="Times New Roman"/>
        </w:rPr>
        <w:t xml:space="preserve">Ακριβώς γι' αυτό το Βρετανικό Μουσείο αποτελεί κρίσιμη μελέτη περίπτωσης για την πολιτική της μη επιστροφής. Δεν αρκείται να κρατά ένα αμφισβητούμενο αντικείμενο. Παράγει ένα πλήρες σύστημα </w:t>
      </w:r>
      <w:proofErr w:type="spellStart"/>
      <w:r w:rsidRPr="000F3293">
        <w:rPr>
          <w:rFonts w:cs="Times New Roman"/>
        </w:rPr>
        <w:t>δικαιολογήσεων</w:t>
      </w:r>
      <w:proofErr w:type="spellEnd"/>
      <w:r w:rsidRPr="000F3293">
        <w:rPr>
          <w:rFonts w:cs="Times New Roman"/>
        </w:rPr>
        <w:t xml:space="preserve"> για την παραμονή του, στο οποίο συνυφαίνονται ιστορικό δίκαιο, κοινοβουλευτική μνήμη, διοικητική ευθύνη, παγκόσμια αφήγηση, πολιτιστικό κύρος και επικοινωνιακή στρατηγική. Αυτή η σύνθεση εξηγεί γιατί η υπόθεση των Γλυπτών του Παρθενώνα παραμένει ανοιχτή επί δεκαετίες. Δεν συγκρούονται μόνο δύο κράτη ή δύο μουσεία. Συγκρούονται δύο διαφορετικές θεωρίες για το τι είναι μουσείο, τι είναι δημόσιο όφελος και ποιος έχει δικαίωμα να μιλά εξ ονόματος ενός μνημείου παγκόσμιας σημασίας.</w:t>
      </w:r>
    </w:p>
    <w:p w14:paraId="688C837D" w14:textId="02CEC54F" w:rsidR="000B0296" w:rsidRPr="000F3293" w:rsidRDefault="00CF49B3" w:rsidP="004F616A">
      <w:pPr>
        <w:spacing w:after="120" w:line="360" w:lineRule="auto"/>
        <w:ind w:firstLine="720"/>
        <w:jc w:val="both"/>
        <w:rPr>
          <w:rFonts w:cs="Times New Roman"/>
        </w:rPr>
      </w:pPr>
      <w:r w:rsidRPr="000F3293">
        <w:rPr>
          <w:rFonts w:cs="Times New Roman"/>
        </w:rPr>
        <w:lastRenderedPageBreak/>
        <w:t xml:space="preserve">Από αναλυτική άποψη, η μεγαλύτερη δύναμη του Βρετανικού Μουσείου είναι ότι έχει καταφέρει να μετατρέψει την ακινησία σε θεσμική ορθολογικότητα. Όσο η επιστροφή παρουσιάζεται ως νομικά αδύνατη, διοικητικά προβληματική ή αντίθετη προς το </w:t>
      </w:r>
      <w:proofErr w:type="spellStart"/>
      <w:r w:rsidRPr="000F3293">
        <w:rPr>
          <w:rFonts w:cs="Times New Roman"/>
        </w:rPr>
        <w:t>public</w:t>
      </w:r>
      <w:proofErr w:type="spellEnd"/>
      <w:r w:rsidRPr="000F3293">
        <w:rPr>
          <w:rFonts w:cs="Times New Roman"/>
        </w:rPr>
        <w:t xml:space="preserve"> </w:t>
      </w:r>
      <w:proofErr w:type="spellStart"/>
      <w:r w:rsidRPr="000F3293">
        <w:rPr>
          <w:rFonts w:cs="Times New Roman"/>
        </w:rPr>
        <w:t>benefit</w:t>
      </w:r>
      <w:proofErr w:type="spellEnd"/>
      <w:r w:rsidRPr="000F3293">
        <w:rPr>
          <w:rFonts w:cs="Times New Roman"/>
        </w:rPr>
        <w:t xml:space="preserve">, η μη μεταβολή μοιάζει με φυσική κατάσταση. Και ακριβώς εκεί έγκειται το κύριο εμπόδιο για την ελληνική πλευρά. Δεν αρκεί πλέον να αποδείξει ότι υπάρχει ηθικό δίκαιο ή </w:t>
      </w:r>
      <w:proofErr w:type="spellStart"/>
      <w:r w:rsidRPr="000F3293">
        <w:rPr>
          <w:rFonts w:cs="Times New Roman"/>
        </w:rPr>
        <w:t>μουσειολογική</w:t>
      </w:r>
      <w:proofErr w:type="spellEnd"/>
      <w:r w:rsidRPr="000F3293">
        <w:rPr>
          <w:rFonts w:cs="Times New Roman"/>
        </w:rPr>
        <w:t xml:space="preserve"> ανωτερότητα στην επανένωση. Πρέπει να διαρρήξει ένα καθεστώς θεσμικής κανονικότητας, το οποίο έχει </w:t>
      </w:r>
      <w:proofErr w:type="spellStart"/>
      <w:r w:rsidRPr="000F3293">
        <w:rPr>
          <w:rFonts w:cs="Times New Roman"/>
        </w:rPr>
        <w:t>οικοδομηθεί</w:t>
      </w:r>
      <w:proofErr w:type="spellEnd"/>
      <w:r w:rsidRPr="000F3293">
        <w:rPr>
          <w:rFonts w:cs="Times New Roman"/>
        </w:rPr>
        <w:t xml:space="preserve"> με μεγάλη επιμέλεια από το ίδιο το μουσείο, από το κράτος και από μια ολόκληρη παράδοση επιχειρημάτων γύρω από το Παγκόσμιο Μουσείο.</w:t>
      </w:r>
    </w:p>
    <w:p w14:paraId="27FD25E6" w14:textId="77777777" w:rsidR="00221736" w:rsidRPr="000F3293" w:rsidRDefault="00000000" w:rsidP="008E48E5">
      <w:pPr>
        <w:spacing w:line="360" w:lineRule="auto"/>
        <w:ind w:firstLine="720"/>
        <w:jc w:val="both"/>
      </w:pPr>
      <w:r w:rsidRPr="000F3293">
        <w:t>Εύλογα τίθεται το ερώτημα κατά πόσο τα ίδια επιχειρήματα και οι ίδιες θεσμικές συνθήκες ισχύουν και για τα Μπρούντζινα του Μπενίν που κατέχει το Βρετανικό Μουσείο. Σε μεγάλο βαθμό η απάντηση είναι καταφατική, καθώς και εδώ το ίδρυμα επικαλείται τον Νόμο περί Βρετανικού Μουσείου του 1963, ο οποίος απαγορεύει τη μόνιμη απομάκρυνση αντικειμένων από τη συλλογή, καθώς και τη λογική του οικουμενικού μουσείου. Ωστόσο, σε αντίθεση με τα Γλυπτά του Παρθενώνα, η προέλευση των Μπρούντζινων του Μπενίν συνδέεται με μια ρητά αναγνωρισμένη πράξη αποικιακής βίας, τη στρατιωτική επιδρομή του 1897, γεγονός που καθιστά την ηθική υπεράσπιση της κατοχής σαφώς πιο δύσκολη και φέρνει το Βρετανικό Μουσείο σε δυσμενέστερη θέση σε σχέση με ιδρύματα που έχουν ήδη προχωρήσει σε επιστροφές (</w:t>
      </w:r>
      <w:proofErr w:type="spellStart"/>
      <w:r w:rsidRPr="000F3293">
        <w:t>Hicks</w:t>
      </w:r>
      <w:proofErr w:type="spellEnd"/>
      <w:r w:rsidRPr="000F3293">
        <w:t>, 2020).</w:t>
      </w:r>
    </w:p>
    <w:p w14:paraId="5EE5C422" w14:textId="77777777" w:rsidR="000B0296" w:rsidRPr="000F3293" w:rsidRDefault="000B0296">
      <w:pPr>
        <w:rPr>
          <w:rFonts w:cs="Times New Roman"/>
        </w:rPr>
      </w:pPr>
    </w:p>
    <w:p w14:paraId="7BB6CAED" w14:textId="3C7D0C4E" w:rsidR="000B0296" w:rsidRPr="000F3293" w:rsidRDefault="00CF49B3" w:rsidP="0043019D">
      <w:pPr>
        <w:pStyle w:val="2"/>
        <w:spacing w:after="120" w:line="360" w:lineRule="auto"/>
        <w:jc w:val="both"/>
        <w:rPr>
          <w:rFonts w:ascii="Times New Roman" w:hAnsi="Times New Roman" w:cs="Times New Roman"/>
          <w:b/>
          <w:bCs/>
          <w:color w:val="auto"/>
          <w:sz w:val="28"/>
          <w:szCs w:val="28"/>
        </w:rPr>
      </w:pPr>
      <w:bookmarkStart w:id="34" w:name="_Toc233154586"/>
      <w:r w:rsidRPr="000F3293">
        <w:rPr>
          <w:rFonts w:ascii="Times New Roman" w:hAnsi="Times New Roman" w:cs="Times New Roman"/>
          <w:b/>
          <w:bCs/>
          <w:color w:val="auto"/>
          <w:sz w:val="28"/>
          <w:szCs w:val="28"/>
        </w:rPr>
        <w:t>3.</w:t>
      </w:r>
      <w:r w:rsidR="008E48E5" w:rsidRPr="000F3293">
        <w:rPr>
          <w:rFonts w:ascii="Times New Roman" w:hAnsi="Times New Roman" w:cs="Times New Roman"/>
          <w:b/>
          <w:bCs/>
          <w:color w:val="auto"/>
          <w:sz w:val="28"/>
          <w:szCs w:val="28"/>
        </w:rPr>
        <w:t>3</w:t>
      </w:r>
      <w:r w:rsidRPr="000F3293">
        <w:rPr>
          <w:rFonts w:ascii="Times New Roman" w:hAnsi="Times New Roman" w:cs="Times New Roman"/>
          <w:b/>
          <w:bCs/>
          <w:color w:val="auto"/>
          <w:sz w:val="28"/>
          <w:szCs w:val="28"/>
        </w:rPr>
        <w:t xml:space="preserve"> </w:t>
      </w:r>
      <w:proofErr w:type="spellStart"/>
      <w:r w:rsidRPr="000F3293">
        <w:rPr>
          <w:rFonts w:ascii="Times New Roman" w:hAnsi="Times New Roman" w:cs="Times New Roman"/>
          <w:b/>
          <w:bCs/>
          <w:color w:val="auto"/>
          <w:sz w:val="28"/>
          <w:szCs w:val="28"/>
        </w:rPr>
        <w:t>Horniman</w:t>
      </w:r>
      <w:proofErr w:type="spellEnd"/>
      <w:r w:rsidRPr="000F3293">
        <w:rPr>
          <w:rFonts w:ascii="Times New Roman" w:hAnsi="Times New Roman" w:cs="Times New Roman"/>
          <w:b/>
          <w:bCs/>
          <w:color w:val="auto"/>
          <w:sz w:val="28"/>
          <w:szCs w:val="28"/>
        </w:rPr>
        <w:t xml:space="preserve"> </w:t>
      </w:r>
      <w:proofErr w:type="spellStart"/>
      <w:r w:rsidRPr="000F3293">
        <w:rPr>
          <w:rFonts w:ascii="Times New Roman" w:hAnsi="Times New Roman" w:cs="Times New Roman"/>
          <w:b/>
          <w:bCs/>
          <w:color w:val="auto"/>
          <w:sz w:val="28"/>
          <w:szCs w:val="28"/>
        </w:rPr>
        <w:t>Museum</w:t>
      </w:r>
      <w:proofErr w:type="spellEnd"/>
      <w:r w:rsidRPr="000F3293">
        <w:rPr>
          <w:rFonts w:ascii="Times New Roman" w:hAnsi="Times New Roman" w:cs="Times New Roman"/>
          <w:b/>
          <w:bCs/>
          <w:color w:val="auto"/>
          <w:sz w:val="28"/>
          <w:szCs w:val="28"/>
        </w:rPr>
        <w:t xml:space="preserve">, από τη διαβούλευση στη μεταβίβαση κυριότητας, και η συμβολή του αρχαιολόγου </w:t>
      </w:r>
      <w:proofErr w:type="spellStart"/>
      <w:r w:rsidRPr="000F3293">
        <w:rPr>
          <w:rFonts w:ascii="Times New Roman" w:hAnsi="Times New Roman" w:cs="Times New Roman"/>
          <w:b/>
          <w:bCs/>
          <w:color w:val="auto"/>
          <w:sz w:val="28"/>
          <w:szCs w:val="28"/>
        </w:rPr>
        <w:t>Nick</w:t>
      </w:r>
      <w:proofErr w:type="spellEnd"/>
      <w:r w:rsidRPr="000F3293">
        <w:rPr>
          <w:rFonts w:ascii="Times New Roman" w:hAnsi="Times New Roman" w:cs="Times New Roman"/>
          <w:b/>
          <w:bCs/>
          <w:color w:val="auto"/>
          <w:sz w:val="28"/>
          <w:szCs w:val="28"/>
        </w:rPr>
        <w:t xml:space="preserve"> </w:t>
      </w:r>
      <w:proofErr w:type="spellStart"/>
      <w:r w:rsidRPr="000F3293">
        <w:rPr>
          <w:rFonts w:ascii="Times New Roman" w:hAnsi="Times New Roman" w:cs="Times New Roman"/>
          <w:b/>
          <w:bCs/>
          <w:color w:val="auto"/>
          <w:sz w:val="28"/>
          <w:szCs w:val="28"/>
        </w:rPr>
        <w:t>Merriman</w:t>
      </w:r>
      <w:bookmarkEnd w:id="34"/>
      <w:proofErr w:type="spellEnd"/>
    </w:p>
    <w:p w14:paraId="2E93D5BE" w14:textId="7802F2FF" w:rsidR="000B0296" w:rsidRPr="000F3293" w:rsidRDefault="00CF49B3">
      <w:pPr>
        <w:spacing w:after="120" w:line="360" w:lineRule="auto"/>
        <w:jc w:val="both"/>
        <w:rPr>
          <w:rFonts w:cs="Times New Roman"/>
        </w:rPr>
      </w:pPr>
      <w:r w:rsidRPr="000F3293">
        <w:rPr>
          <w:rFonts w:cs="Times New Roman"/>
        </w:rPr>
        <w:t xml:space="preserve">Το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αποτελεί ίσως την πιο χρήσιμη αντίστιξη προς το Βρετανικό Μουσείο στην παρούσα συγκριτική ανάλυση. Ενώ και τα δύο εδρεύουν στο Ηνωμένο Βασίλειο και λειτουργούν μέσα σε συγγενές ευρύτερο διοικητικό περιβάλλον, το </w:t>
      </w:r>
      <w:proofErr w:type="spellStart"/>
      <w:r w:rsidRPr="000F3293">
        <w:rPr>
          <w:rFonts w:cs="Times New Roman"/>
        </w:rPr>
        <w:t>Horniman</w:t>
      </w:r>
      <w:proofErr w:type="spellEnd"/>
      <w:r w:rsidRPr="000F3293">
        <w:rPr>
          <w:rFonts w:cs="Times New Roman"/>
        </w:rPr>
        <w:t xml:space="preserve"> επέλεξε να κινηθεί προς την κατεύθυνση της Αποκατάστασης, όχι απλώς σε επίπεδο ρητορικής, αλλά σε επίπεδο επίσημης πολιτικής, διαβούλευσης με κοινότητες και τελικά μεταβίβασης κυριότητας. Για τον λόγο αυτό, η συγκεκριμένη περίπτωση δεν έχει σημασία μόνο ως μεμονωμένο προηγούμενο στην υπόθεση των Μπρούντζων του Μπενίν. Έχει σημασία ως δείκτης ότι ακόμη και εντός της βρετανικής μουσειακής πραγματικότητας μπορούν να αναπτυχθούν διαφορετικά πρότυπα </w:t>
      </w:r>
      <w:r w:rsidRPr="000F3293">
        <w:rPr>
          <w:rFonts w:cs="Times New Roman"/>
        </w:rPr>
        <w:lastRenderedPageBreak/>
        <w:t>ερμηνείας του νόμου, της ηθικής υποχρέωσης και του δημόσιου συμφέροντος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2022a, 2022b, </w:t>
      </w:r>
      <w:proofErr w:type="spellStart"/>
      <w:r w:rsidRPr="000F3293">
        <w:rPr>
          <w:rFonts w:cs="Times New Roman"/>
        </w:rPr>
        <w:t>Merriman</w:t>
      </w:r>
      <w:proofErr w:type="spellEnd"/>
      <w:r w:rsidRPr="000F3293">
        <w:rPr>
          <w:rFonts w:cs="Times New Roman"/>
        </w:rPr>
        <w:t>, 2024).</w:t>
      </w:r>
    </w:p>
    <w:p w14:paraId="3C1F7A39" w14:textId="4E49239A" w:rsidR="000B0296" w:rsidRPr="000F3293" w:rsidRDefault="00CF49B3" w:rsidP="004F616A">
      <w:pPr>
        <w:spacing w:after="120" w:line="360" w:lineRule="auto"/>
        <w:ind w:firstLine="720"/>
        <w:jc w:val="both"/>
        <w:rPr>
          <w:rFonts w:cs="Times New Roman"/>
        </w:rPr>
      </w:pPr>
      <w:r w:rsidRPr="000F3293">
        <w:rPr>
          <w:rFonts w:cs="Times New Roman"/>
        </w:rPr>
        <w:t xml:space="preserve">Ως προς τη διοίκηση, το </w:t>
      </w:r>
      <w:proofErr w:type="spellStart"/>
      <w:r w:rsidRPr="000F3293">
        <w:rPr>
          <w:rFonts w:cs="Times New Roman"/>
        </w:rPr>
        <w:t>Horniman</w:t>
      </w:r>
      <w:proofErr w:type="spellEnd"/>
      <w:r w:rsidRPr="000F3293">
        <w:rPr>
          <w:rFonts w:cs="Times New Roman"/>
        </w:rPr>
        <w:t xml:space="preserve"> είναι ανεξάρτητο φιλανθρωπικό καταπίστευμα, με την πλήρη επωνυμία The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Public</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Public</w:t>
      </w:r>
      <w:proofErr w:type="spellEnd"/>
      <w:r w:rsidRPr="000F3293">
        <w:rPr>
          <w:rFonts w:cs="Times New Roman"/>
        </w:rPr>
        <w:t xml:space="preserve"> </w:t>
      </w:r>
      <w:proofErr w:type="spellStart"/>
      <w:r w:rsidRPr="000F3293">
        <w:rPr>
          <w:rFonts w:cs="Times New Roman"/>
        </w:rPr>
        <w:t>Park</w:t>
      </w:r>
      <w:proofErr w:type="spellEnd"/>
      <w:r w:rsidRPr="000F3293">
        <w:rPr>
          <w:rFonts w:cs="Times New Roman"/>
        </w:rPr>
        <w:t xml:space="preserve"> </w:t>
      </w:r>
      <w:proofErr w:type="spellStart"/>
      <w:r w:rsidRPr="000F3293">
        <w:rPr>
          <w:rFonts w:cs="Times New Roman"/>
        </w:rPr>
        <w:t>Trust</w:t>
      </w:r>
      <w:proofErr w:type="spellEnd"/>
      <w:r w:rsidRPr="000F3293">
        <w:rPr>
          <w:rFonts w:cs="Times New Roman"/>
        </w:rPr>
        <w:t xml:space="preserve">. Η επίσημη σελίδα του αναφέρει ότι το ίδρυμα είναι </w:t>
      </w:r>
      <w:proofErr w:type="spellStart"/>
      <w:r w:rsidRPr="000F3293">
        <w:rPr>
          <w:rFonts w:cs="Times New Roman"/>
        </w:rPr>
        <w:t>charity</w:t>
      </w:r>
      <w:proofErr w:type="spellEnd"/>
      <w:r w:rsidRPr="000F3293">
        <w:rPr>
          <w:rFonts w:cs="Times New Roman"/>
        </w:rPr>
        <w:t>, ενώ η ετήσια οικονομική του έκθεση δηλώνει ότι πρόκειται για Μη Τμηματικός Δημόσιος Φορέας, με χορηγία του DCMS, το οποίο λαμβάνει επιχορήγηση ως ενίσχυση για λειτουργικά έξοδα, κεφαλαιουχικές βελτιώσεις και αγορές συλλογών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.-b, </w:t>
      </w:r>
      <w:proofErr w:type="spellStart"/>
      <w:r w:rsidRPr="000F3293">
        <w:rPr>
          <w:rFonts w:cs="Times New Roman"/>
        </w:rPr>
        <w:t>n.d</w:t>
      </w:r>
      <w:proofErr w:type="spellEnd"/>
      <w:r w:rsidRPr="000F3293">
        <w:rPr>
          <w:rFonts w:cs="Times New Roman"/>
        </w:rPr>
        <w:t>.-c). Σήμερα</w:t>
      </w:r>
      <w:r w:rsidRPr="000F3293">
        <w:rPr>
          <w:rFonts w:cs="Times New Roman"/>
          <w:lang w:val="en-US"/>
        </w:rPr>
        <w:t xml:space="preserve">, Chief Executive </w:t>
      </w:r>
      <w:r w:rsidRPr="000F3293">
        <w:rPr>
          <w:rFonts w:cs="Times New Roman"/>
        </w:rPr>
        <w:t>είναι</w:t>
      </w:r>
      <w:r w:rsidRPr="000F3293">
        <w:rPr>
          <w:rFonts w:cs="Times New Roman"/>
          <w:lang w:val="en-US"/>
        </w:rPr>
        <w:t xml:space="preserve"> </w:t>
      </w:r>
      <w:r w:rsidRPr="000F3293">
        <w:rPr>
          <w:rFonts w:cs="Times New Roman"/>
        </w:rPr>
        <w:t>ο</w:t>
      </w:r>
      <w:r w:rsidRPr="000F3293">
        <w:rPr>
          <w:rFonts w:cs="Times New Roman"/>
          <w:lang w:val="en-US"/>
        </w:rPr>
        <w:t xml:space="preserve"> Gordon Seabright </w:t>
      </w:r>
      <w:r w:rsidRPr="000F3293">
        <w:rPr>
          <w:rFonts w:cs="Times New Roman"/>
        </w:rPr>
        <w:t>και</w:t>
      </w:r>
      <w:r w:rsidRPr="000F3293">
        <w:rPr>
          <w:rFonts w:cs="Times New Roman"/>
          <w:lang w:val="en-US"/>
        </w:rPr>
        <w:t xml:space="preserve"> Chair </w:t>
      </w:r>
      <w:r w:rsidRPr="000F3293">
        <w:rPr>
          <w:rFonts w:cs="Times New Roman"/>
        </w:rPr>
        <w:t>των</w:t>
      </w:r>
      <w:r w:rsidRPr="000F3293">
        <w:rPr>
          <w:rFonts w:cs="Times New Roman"/>
          <w:lang w:val="en-US"/>
        </w:rPr>
        <w:t xml:space="preserve"> Trustees </w:t>
      </w:r>
      <w:r w:rsidRPr="000F3293">
        <w:rPr>
          <w:rFonts w:cs="Times New Roman"/>
        </w:rPr>
        <w:t>ο</w:t>
      </w:r>
      <w:r w:rsidRPr="000F3293">
        <w:rPr>
          <w:rFonts w:cs="Times New Roman"/>
          <w:lang w:val="en-US"/>
        </w:rPr>
        <w:t xml:space="preserve"> Michael Salter Church MBE, </w:t>
      </w:r>
      <w:r w:rsidRPr="000F3293">
        <w:rPr>
          <w:rFonts w:cs="Times New Roman"/>
        </w:rPr>
        <w:t>με</w:t>
      </w:r>
      <w:r w:rsidRPr="000F3293">
        <w:rPr>
          <w:rFonts w:cs="Times New Roman"/>
          <w:lang w:val="en-US"/>
        </w:rPr>
        <w:t xml:space="preserve"> Vice Chair </w:t>
      </w:r>
      <w:r w:rsidRPr="000F3293">
        <w:rPr>
          <w:rFonts w:cs="Times New Roman"/>
        </w:rPr>
        <w:t>τη</w:t>
      </w:r>
      <w:r w:rsidRPr="000F3293">
        <w:rPr>
          <w:rFonts w:cs="Times New Roman"/>
          <w:lang w:val="en-US"/>
        </w:rPr>
        <w:t xml:space="preserve"> </w:t>
      </w:r>
      <w:proofErr w:type="spellStart"/>
      <w:r w:rsidRPr="000F3293">
        <w:rPr>
          <w:rFonts w:cs="Times New Roman"/>
          <w:lang w:val="en-US"/>
        </w:rPr>
        <w:t>Yesomi</w:t>
      </w:r>
      <w:proofErr w:type="spellEnd"/>
      <w:r w:rsidRPr="000F3293">
        <w:rPr>
          <w:rFonts w:cs="Times New Roman"/>
          <w:lang w:val="en-US"/>
        </w:rPr>
        <w:t xml:space="preserve"> </w:t>
      </w:r>
      <w:proofErr w:type="spellStart"/>
      <w:r w:rsidRPr="000F3293">
        <w:rPr>
          <w:rFonts w:cs="Times New Roman"/>
          <w:lang w:val="en-US"/>
        </w:rPr>
        <w:t>Umolu</w:t>
      </w:r>
      <w:proofErr w:type="spellEnd"/>
      <w:r w:rsidRPr="000F3293">
        <w:rPr>
          <w:rFonts w:cs="Times New Roman"/>
          <w:lang w:val="en-US"/>
        </w:rPr>
        <w:t xml:space="preserve"> </w:t>
      </w:r>
      <w:r w:rsidRPr="000F3293">
        <w:rPr>
          <w:rFonts w:cs="Times New Roman"/>
        </w:rPr>
        <w:t>και</w:t>
      </w:r>
      <w:r w:rsidRPr="000F3293">
        <w:rPr>
          <w:rFonts w:cs="Times New Roman"/>
          <w:lang w:val="en-US"/>
        </w:rPr>
        <w:t xml:space="preserve"> </w:t>
      </w:r>
      <w:r w:rsidRPr="000F3293">
        <w:rPr>
          <w:rFonts w:cs="Times New Roman"/>
        </w:rPr>
        <w:t>πολυμελές</w:t>
      </w:r>
      <w:r w:rsidRPr="000F3293">
        <w:rPr>
          <w:rFonts w:cs="Times New Roman"/>
          <w:lang w:val="en-US"/>
        </w:rPr>
        <w:t xml:space="preserve"> Board of Trustees (Horniman Museum and Gardens, n.d.-b). </w:t>
      </w:r>
      <w:r w:rsidRPr="000F3293">
        <w:rPr>
          <w:rFonts w:cs="Times New Roman"/>
        </w:rPr>
        <w:t xml:space="preserve">Ωστόσο, για την παρούσα μελέτη καθοριστικό πρόσωπο είναι ο αρχαιολόγος </w:t>
      </w:r>
      <w:proofErr w:type="spellStart"/>
      <w:r w:rsidRPr="000F3293">
        <w:rPr>
          <w:rFonts w:cs="Times New Roman"/>
        </w:rPr>
        <w:t>Nick</w:t>
      </w:r>
      <w:proofErr w:type="spellEnd"/>
      <w:r w:rsidRPr="000F3293">
        <w:rPr>
          <w:rFonts w:cs="Times New Roman"/>
        </w:rPr>
        <w:t xml:space="preserve"> </w:t>
      </w:r>
      <w:proofErr w:type="spellStart"/>
      <w:r w:rsidRPr="000F3293">
        <w:rPr>
          <w:rFonts w:cs="Times New Roman"/>
        </w:rPr>
        <w:t>Merriman</w:t>
      </w:r>
      <w:proofErr w:type="spellEnd"/>
      <w:r w:rsidRPr="000F3293">
        <w:rPr>
          <w:rFonts w:cs="Times New Roman"/>
        </w:rPr>
        <w:t xml:space="preserve">, ο οποίος υπήρξε </w:t>
      </w:r>
      <w:proofErr w:type="spellStart"/>
      <w:r w:rsidRPr="000F3293">
        <w:rPr>
          <w:rFonts w:cs="Times New Roman"/>
        </w:rPr>
        <w:t>Chief</w:t>
      </w:r>
      <w:proofErr w:type="spellEnd"/>
      <w:r w:rsidRPr="000F3293">
        <w:rPr>
          <w:rFonts w:cs="Times New Roman"/>
        </w:rPr>
        <w:t xml:space="preserve"> Executive and </w:t>
      </w:r>
      <w:proofErr w:type="spellStart"/>
      <w:r w:rsidRPr="000F3293">
        <w:rPr>
          <w:rFonts w:cs="Times New Roman"/>
        </w:rPr>
        <w:t>Director</w:t>
      </w:r>
      <w:proofErr w:type="spellEnd"/>
      <w:r w:rsidRPr="000F3293">
        <w:rPr>
          <w:rFonts w:cs="Times New Roman"/>
        </w:rPr>
        <w:t xml:space="preserve"> of </w:t>
      </w:r>
      <w:proofErr w:type="spellStart"/>
      <w:r w:rsidRPr="000F3293">
        <w:rPr>
          <w:rFonts w:cs="Times New Roman"/>
        </w:rPr>
        <w:t>Content</w:t>
      </w:r>
      <w:proofErr w:type="spellEnd"/>
      <w:r w:rsidRPr="000F3293">
        <w:rPr>
          <w:rFonts w:cs="Times New Roman"/>
        </w:rPr>
        <w:t xml:space="preserve"> του </w:t>
      </w:r>
      <w:proofErr w:type="spellStart"/>
      <w:r w:rsidRPr="000F3293">
        <w:rPr>
          <w:rFonts w:cs="Times New Roman"/>
        </w:rPr>
        <w:t>Horniman</w:t>
      </w:r>
      <w:proofErr w:type="spellEnd"/>
      <w:r w:rsidRPr="000F3293">
        <w:rPr>
          <w:rFonts w:cs="Times New Roman"/>
        </w:rPr>
        <w:t xml:space="preserve"> από τον Μάιο του 2018 έως τον Φεβρουάριο του 2024 και υπό τη θητεία του οποίου διαμορφώθηκε το θεσμικό και ιδεολογικό υπόβαθρο της επιστροφής των </w:t>
      </w:r>
      <w:proofErr w:type="spellStart"/>
      <w:r w:rsidRPr="000F3293">
        <w:rPr>
          <w:rFonts w:cs="Times New Roman"/>
        </w:rPr>
        <w:t>Benin</w:t>
      </w:r>
      <w:proofErr w:type="spellEnd"/>
      <w:r w:rsidRPr="000F3293">
        <w:rPr>
          <w:rFonts w:cs="Times New Roman"/>
        </w:rPr>
        <w:t xml:space="preserve">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.-a).</w:t>
      </w:r>
    </w:p>
    <w:p w14:paraId="1EA0C22A" w14:textId="7AB6C126" w:rsidR="000B0296" w:rsidRPr="000F3293" w:rsidRDefault="00CF49B3" w:rsidP="004F616A">
      <w:pPr>
        <w:spacing w:after="120" w:line="360" w:lineRule="auto"/>
        <w:ind w:firstLine="720"/>
        <w:jc w:val="both"/>
        <w:rPr>
          <w:rFonts w:cs="Times New Roman"/>
        </w:rPr>
      </w:pPr>
      <w:r w:rsidRPr="000F3293">
        <w:rPr>
          <w:rFonts w:cs="Times New Roman"/>
        </w:rPr>
        <w:t xml:space="preserve">Η περίπτωση του </w:t>
      </w:r>
      <w:proofErr w:type="spellStart"/>
      <w:r w:rsidRPr="000F3293">
        <w:rPr>
          <w:rFonts w:cs="Times New Roman"/>
        </w:rPr>
        <w:t>Horniman</w:t>
      </w:r>
      <w:proofErr w:type="spellEnd"/>
      <w:r w:rsidRPr="000F3293">
        <w:rPr>
          <w:rFonts w:cs="Times New Roman"/>
        </w:rPr>
        <w:t xml:space="preserve"> είναι τόσο σημαντική επειδή δεν στηρίχθηκε σε μια αιφνίδια χειρονομία μεταμέλειας. Προηγήθηκε θεσμική προετοιμασία. Στην επίσημη σελίδα για σχέδια, πολιτικές και υποβολή εκθέσεων δηλώνεται ότι το φθινόπωρο του 2020 το μουσείο πραγματοποίησε διαβούλευση με μέλη της βρετανικής νιγηριανής διασποράς σχετικά με τα αντικείμενα από το </w:t>
      </w:r>
      <w:proofErr w:type="spellStart"/>
      <w:r w:rsidRPr="000F3293">
        <w:rPr>
          <w:rFonts w:cs="Times New Roman"/>
        </w:rPr>
        <w:t>Benin</w:t>
      </w:r>
      <w:proofErr w:type="spellEnd"/>
      <w:r w:rsidRPr="000F3293">
        <w:rPr>
          <w:rFonts w:cs="Times New Roman"/>
        </w:rPr>
        <w:t xml:space="preserve"> </w:t>
      </w:r>
      <w:proofErr w:type="spellStart"/>
      <w:r w:rsidRPr="000F3293">
        <w:rPr>
          <w:rFonts w:cs="Times New Roman"/>
        </w:rPr>
        <w:t>City</w:t>
      </w:r>
      <w:proofErr w:type="spellEnd"/>
      <w:r w:rsidRPr="000F3293">
        <w:rPr>
          <w:rFonts w:cs="Times New Roman"/>
        </w:rPr>
        <w:t>, στο πλαίσιο του έργου «</w:t>
      </w:r>
      <w:proofErr w:type="spellStart"/>
      <w:r w:rsidRPr="000F3293">
        <w:rPr>
          <w:rFonts w:cs="Times New Roman"/>
        </w:rPr>
        <w:t>Rethinking</w:t>
      </w:r>
      <w:proofErr w:type="spellEnd"/>
      <w:r w:rsidRPr="000F3293">
        <w:rPr>
          <w:rFonts w:cs="Times New Roman"/>
        </w:rPr>
        <w:t xml:space="preserve"> </w:t>
      </w:r>
      <w:proofErr w:type="spellStart"/>
      <w:r w:rsidRPr="000F3293">
        <w:rPr>
          <w:rFonts w:cs="Times New Roman"/>
        </w:rPr>
        <w:t>Relationships</w:t>
      </w:r>
      <w:proofErr w:type="spellEnd"/>
      <w:r w:rsidRPr="000F3293">
        <w:rPr>
          <w:rFonts w:cs="Times New Roman"/>
        </w:rPr>
        <w:t xml:space="preserve"> and </w:t>
      </w:r>
      <w:proofErr w:type="spellStart"/>
      <w:r w:rsidRPr="000F3293">
        <w:rPr>
          <w:rFonts w:cs="Times New Roman"/>
        </w:rPr>
        <w:t>Building</w:t>
      </w:r>
      <w:proofErr w:type="spellEnd"/>
      <w:r w:rsidRPr="000F3293">
        <w:rPr>
          <w:rFonts w:cs="Times New Roman"/>
        </w:rPr>
        <w:t xml:space="preserve"> </w:t>
      </w:r>
      <w:proofErr w:type="spellStart"/>
      <w:r w:rsidRPr="000F3293">
        <w:rPr>
          <w:rFonts w:cs="Times New Roman"/>
        </w:rPr>
        <w:t>Trust</w:t>
      </w:r>
      <w:proofErr w:type="spellEnd"/>
      <w:r w:rsidRPr="000F3293">
        <w:rPr>
          <w:rFonts w:cs="Times New Roman"/>
        </w:rPr>
        <w:t xml:space="preserve"> </w:t>
      </w:r>
      <w:proofErr w:type="spellStart"/>
      <w:r w:rsidRPr="000F3293">
        <w:rPr>
          <w:rFonts w:cs="Times New Roman"/>
        </w:rPr>
        <w:t>around</w:t>
      </w:r>
      <w:proofErr w:type="spellEnd"/>
      <w:r w:rsidRPr="000F3293">
        <w:rPr>
          <w:rFonts w:cs="Times New Roman"/>
        </w:rPr>
        <w:t xml:space="preserve"> African </w:t>
      </w:r>
      <w:proofErr w:type="spellStart"/>
      <w:r w:rsidRPr="000F3293">
        <w:rPr>
          <w:rFonts w:cs="Times New Roman"/>
        </w:rPr>
        <w:t>collections</w:t>
      </w:r>
      <w:proofErr w:type="spellEnd"/>
      <w:r w:rsidRPr="000F3293">
        <w:rPr>
          <w:rFonts w:cs="Times New Roman"/>
        </w:rPr>
        <w:t xml:space="preserve">». Όλες οι απόψεις μεταφέρθηκαν στους </w:t>
      </w:r>
      <w:proofErr w:type="spellStart"/>
      <w:r w:rsidRPr="000F3293">
        <w:rPr>
          <w:rFonts w:cs="Times New Roman"/>
        </w:rPr>
        <w:t>Trustees</w:t>
      </w:r>
      <w:proofErr w:type="spellEnd"/>
      <w:r w:rsidRPr="000F3293">
        <w:rPr>
          <w:rFonts w:cs="Times New Roman"/>
        </w:rPr>
        <w:t xml:space="preserve">. Στη συνέχεια το ίδρυμα υιοθέτησε </w:t>
      </w:r>
      <w:proofErr w:type="spellStart"/>
      <w:r w:rsidRPr="000F3293">
        <w:rPr>
          <w:rFonts w:cs="Times New Roman"/>
        </w:rPr>
        <w:t>Restitution</w:t>
      </w:r>
      <w:proofErr w:type="spellEnd"/>
      <w:r w:rsidRPr="000F3293">
        <w:rPr>
          <w:rFonts w:cs="Times New Roman"/>
        </w:rPr>
        <w:t xml:space="preserve"> and </w:t>
      </w:r>
      <w:proofErr w:type="spellStart"/>
      <w:r w:rsidRPr="000F3293">
        <w:rPr>
          <w:rFonts w:cs="Times New Roman"/>
        </w:rPr>
        <w:t>Repatriation</w:t>
      </w:r>
      <w:proofErr w:type="spellEnd"/>
      <w:r w:rsidRPr="000F3293">
        <w:rPr>
          <w:rFonts w:cs="Times New Roman"/>
        </w:rPr>
        <w:t xml:space="preserve"> Policy, η οποία προβλέπει ότι κάθε αίτημα θα εξετάζεται κατά περίπτωση, με σαφή διαδικασία, δέσμευση σε ανταλλαγή πληροφοριών και διαφάνεια της διαδικασίας, και με απαίτηση το εξωτερικό αίτημα να υποβάλλεται απευθείας στον </w:t>
      </w:r>
      <w:proofErr w:type="spellStart"/>
      <w:r w:rsidRPr="000F3293">
        <w:rPr>
          <w:rFonts w:cs="Times New Roman"/>
        </w:rPr>
        <w:t>Chief</w:t>
      </w:r>
      <w:proofErr w:type="spellEnd"/>
      <w:r w:rsidRPr="000F3293">
        <w:rPr>
          <w:rFonts w:cs="Times New Roman"/>
        </w:rPr>
        <w:t xml:space="preserve"> Executive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.-c). Πρόκειται για κρίσιμη εξέλιξη. Το μουσείο δεν έφτασε στην απόφαση επιστροφής επειδή πιέστηκε απλώς από την επικαιρότητα, αλλά επειδή πρώτα δημιούργησε ένα διαδικαστικό πλαίσιο που μετέτρεπε το ενδεχόμενο επιστροφής από εξαίρεση σε διοικητικά </w:t>
      </w:r>
      <w:proofErr w:type="spellStart"/>
      <w:r w:rsidRPr="000F3293">
        <w:rPr>
          <w:rFonts w:cs="Times New Roman"/>
        </w:rPr>
        <w:t>διαχειρίσιμη</w:t>
      </w:r>
      <w:proofErr w:type="spellEnd"/>
      <w:r w:rsidRPr="000F3293">
        <w:rPr>
          <w:rFonts w:cs="Times New Roman"/>
        </w:rPr>
        <w:t xml:space="preserve"> πράξη.</w:t>
      </w:r>
    </w:p>
    <w:p w14:paraId="3BDF59D9" w14:textId="393CB28A" w:rsidR="000B0296" w:rsidRPr="000F3293" w:rsidRDefault="00CF49B3" w:rsidP="0000195A">
      <w:pPr>
        <w:spacing w:after="120" w:line="360" w:lineRule="auto"/>
        <w:ind w:firstLine="720"/>
        <w:jc w:val="both"/>
        <w:rPr>
          <w:rFonts w:cs="Times New Roman"/>
        </w:rPr>
      </w:pPr>
      <w:r w:rsidRPr="000F3293">
        <w:rPr>
          <w:rFonts w:cs="Times New Roman"/>
        </w:rPr>
        <w:t xml:space="preserve">Η ακολουθία των γεγονότων στην υπόθεση του Μπενίν είναι εντυπωσιακά καθαρή. Τον Ιανουάριο του 2022 το </w:t>
      </w:r>
      <w:proofErr w:type="spellStart"/>
      <w:r w:rsidRPr="000F3293">
        <w:rPr>
          <w:rFonts w:cs="Times New Roman"/>
        </w:rPr>
        <w:t>Horniman</w:t>
      </w:r>
      <w:proofErr w:type="spellEnd"/>
      <w:r w:rsidRPr="000F3293">
        <w:rPr>
          <w:rFonts w:cs="Times New Roman"/>
        </w:rPr>
        <w:t xml:space="preserve"> έλαβε επίσημο αίτημα από την </w:t>
      </w:r>
      <w:proofErr w:type="spellStart"/>
      <w:r w:rsidRPr="000F3293">
        <w:rPr>
          <w:rFonts w:cs="Times New Roman"/>
        </w:rPr>
        <w:t>National</w:t>
      </w:r>
      <w:proofErr w:type="spellEnd"/>
      <w:r w:rsidRPr="000F3293">
        <w:rPr>
          <w:rFonts w:cs="Times New Roman"/>
        </w:rPr>
        <w:t xml:space="preserve"> Commission for </w:t>
      </w:r>
      <w:proofErr w:type="spellStart"/>
      <w:r w:rsidRPr="000F3293">
        <w:rPr>
          <w:rFonts w:cs="Times New Roman"/>
        </w:rPr>
        <w:lastRenderedPageBreak/>
        <w:t>Museums</w:t>
      </w:r>
      <w:proofErr w:type="spellEnd"/>
      <w:r w:rsidRPr="000F3293">
        <w:rPr>
          <w:rFonts w:cs="Times New Roman"/>
        </w:rPr>
        <w:t xml:space="preserve"> and </w:t>
      </w:r>
      <w:proofErr w:type="spellStart"/>
      <w:r w:rsidRPr="000F3293">
        <w:rPr>
          <w:rFonts w:cs="Times New Roman"/>
        </w:rPr>
        <w:t>Monuments</w:t>
      </w:r>
      <w:proofErr w:type="spellEnd"/>
      <w:r w:rsidRPr="000F3293">
        <w:rPr>
          <w:rFonts w:cs="Times New Roman"/>
        </w:rPr>
        <w:t xml:space="preserve"> της Νιγηρίας. Σύμφωνα με το δελτίο τύπου της 7ης Αυγούστου 2022, το μουσείο έκτοτε πραγματοποίησε λεπτομερή έρευνα προέλευσης για να διαπιστώσει ποια αντικείμενα εμπίπτουν στο αίτημα και προχώρησε σε ευρεία διαβούλευση με μέλη της κοινότητας, επισκέπτες, μαθητές, ακαδημαϊκοί, επαγγελματίες της πολιτιστικής κληρονομιάς και καλλιτέχνες στη Νιγηρία και το Ηνωμένο Βασίλειο. Μετά την εξέταση της προέλευσης και των απόψεων αυτών, οι </w:t>
      </w:r>
      <w:proofErr w:type="spellStart"/>
      <w:r w:rsidRPr="000F3293">
        <w:rPr>
          <w:rFonts w:cs="Times New Roman"/>
        </w:rPr>
        <w:t>Trustees</w:t>
      </w:r>
      <w:proofErr w:type="spellEnd"/>
      <w:r w:rsidRPr="000F3293">
        <w:rPr>
          <w:rFonts w:cs="Times New Roman"/>
        </w:rPr>
        <w:t xml:space="preserve"> αποφάσισαν να μεταβιβάσουν την ιδιοκτησία 72 αντικειμένων που είχαν αφαιρεθεί βίαια από το </w:t>
      </w:r>
      <w:proofErr w:type="spellStart"/>
      <w:r w:rsidRPr="000F3293">
        <w:rPr>
          <w:rFonts w:cs="Times New Roman"/>
        </w:rPr>
        <w:t>Benin</w:t>
      </w:r>
      <w:proofErr w:type="spellEnd"/>
      <w:r w:rsidRPr="000F3293">
        <w:rPr>
          <w:rFonts w:cs="Times New Roman"/>
        </w:rPr>
        <w:t xml:space="preserve"> </w:t>
      </w:r>
      <w:proofErr w:type="spellStart"/>
      <w:r w:rsidRPr="000F3293">
        <w:rPr>
          <w:rFonts w:cs="Times New Roman"/>
        </w:rPr>
        <w:t>City</w:t>
      </w:r>
      <w:proofErr w:type="spellEnd"/>
      <w:r w:rsidRPr="000F3293">
        <w:rPr>
          <w:rFonts w:cs="Times New Roman"/>
        </w:rPr>
        <w:t xml:space="preserve"> κατά τη βρετανική στρατιωτική εισβολή του Φεβρουαρίου 1897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2022a). Η διατύπωση του δελτίου τύπου είναι σαφής και αξιοσημείωτη. Η </w:t>
      </w:r>
      <w:proofErr w:type="spellStart"/>
      <w:r w:rsidRPr="000F3293">
        <w:rPr>
          <w:rFonts w:cs="Times New Roman"/>
        </w:rPr>
        <w:t>Chair</w:t>
      </w:r>
      <w:proofErr w:type="spellEnd"/>
      <w:r w:rsidRPr="000F3293">
        <w:rPr>
          <w:rFonts w:cs="Times New Roman"/>
        </w:rPr>
        <w:t xml:space="preserve"> </w:t>
      </w:r>
      <w:proofErr w:type="spellStart"/>
      <w:r w:rsidRPr="000F3293">
        <w:rPr>
          <w:rFonts w:cs="Times New Roman"/>
        </w:rPr>
        <w:t>Eve</w:t>
      </w:r>
      <w:proofErr w:type="spellEnd"/>
      <w:r w:rsidRPr="000F3293">
        <w:rPr>
          <w:rFonts w:cs="Times New Roman"/>
        </w:rPr>
        <w:t xml:space="preserve"> </w:t>
      </w:r>
      <w:proofErr w:type="spellStart"/>
      <w:r w:rsidRPr="000F3293">
        <w:rPr>
          <w:rFonts w:cs="Times New Roman"/>
        </w:rPr>
        <w:t>Salomon</w:t>
      </w:r>
      <w:proofErr w:type="spellEnd"/>
      <w:r w:rsidRPr="000F3293">
        <w:rPr>
          <w:rFonts w:cs="Times New Roman"/>
        </w:rPr>
        <w:t xml:space="preserve"> δήλωσε ότι τα αποδεικτικά στοιχεία ήταν πολύ καθαρά, ότι τα αντικείμενα αποκτήθηκαν μέσω βίας και ότι η επιστροφή της </w:t>
      </w:r>
      <w:proofErr w:type="spellStart"/>
      <w:r w:rsidRPr="000F3293">
        <w:rPr>
          <w:rFonts w:cs="Times New Roman"/>
        </w:rPr>
        <w:t>κυριότητάς</w:t>
      </w:r>
      <w:proofErr w:type="spellEnd"/>
      <w:r w:rsidRPr="000F3293">
        <w:rPr>
          <w:rFonts w:cs="Times New Roman"/>
        </w:rPr>
        <w:t xml:space="preserve"> τους στη Νιγηρία ήταν «ηθική και κατάλληλη»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2022a). Σε αντίθεση με το Βρετανικό Μουσείο, εδώ η νομιμοποίηση δεν αναζητείται σε ιστορικές διοικητικές άδειες, αλλά στη σαφή αναγνώριση της βίας ως τρόπου κτήσης.</w:t>
      </w:r>
    </w:p>
    <w:p w14:paraId="3346471E" w14:textId="4AC83DA8" w:rsidR="000B0296" w:rsidRPr="000F3293" w:rsidRDefault="00CF49B3" w:rsidP="00C34155">
      <w:pPr>
        <w:spacing w:after="120" w:line="360" w:lineRule="auto"/>
        <w:ind w:firstLine="720"/>
        <w:jc w:val="both"/>
        <w:rPr>
          <w:rFonts w:cs="Times New Roman"/>
        </w:rPr>
      </w:pPr>
      <w:r w:rsidRPr="000F3293">
        <w:rPr>
          <w:rFonts w:cs="Times New Roman"/>
        </w:rPr>
        <w:t xml:space="preserve">Το επόμενο βήμα ήταν εξίσου κρίσιμο. Η ίδια ανακοίνωση αναφέρει ότι η </w:t>
      </w:r>
      <w:r w:rsidRPr="000F3293">
        <w:rPr>
          <w:rFonts w:cs="Times New Roman"/>
          <w:lang w:val="en-US"/>
        </w:rPr>
        <w:t>Charity</w:t>
      </w:r>
      <w:r w:rsidRPr="000F3293">
        <w:rPr>
          <w:rFonts w:cs="Times New Roman"/>
        </w:rPr>
        <w:t xml:space="preserve"> </w:t>
      </w:r>
      <w:r w:rsidRPr="000F3293">
        <w:rPr>
          <w:rFonts w:cs="Times New Roman"/>
          <w:lang w:val="en-US"/>
        </w:rPr>
        <w:t>Commission</w:t>
      </w:r>
      <w:r w:rsidRPr="000F3293">
        <w:rPr>
          <w:rFonts w:cs="Times New Roman"/>
        </w:rPr>
        <w:t xml:space="preserve"> επικύρωσε την απόφαση των </w:t>
      </w:r>
      <w:r w:rsidRPr="000F3293">
        <w:rPr>
          <w:rFonts w:cs="Times New Roman"/>
          <w:lang w:val="en-US"/>
        </w:rPr>
        <w:t>Trustees</w:t>
      </w:r>
      <w:r w:rsidRPr="000F3293">
        <w:rPr>
          <w:rFonts w:cs="Times New Roman"/>
        </w:rPr>
        <w:t xml:space="preserve"> στις 5 Αυγούστου 2022. Έτσι, η επιστροφή δεν παρουσιάστηκε ως αντίθετη με το νομικό ή φιλανθρωπικό πλαίσιο του οργανισμού, αλλά ως πράξη που μπορούσε να εγκριθεί από τον αρμόδιο ρυθμιστή του φιλανθρωπικού τομέα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2022a). Το στοιχείο αυτό αξίζει ιδιαίτερη προσοχή. Σε πολλές δημόσιες συζητήσεις, ο νόμος προβάλλεται ως αυστηρό εμπόδιο για τις επιστροφές. Το </w:t>
      </w:r>
      <w:proofErr w:type="spellStart"/>
      <w:r w:rsidRPr="000F3293">
        <w:rPr>
          <w:rFonts w:cs="Times New Roman"/>
        </w:rPr>
        <w:t>Horniman</w:t>
      </w:r>
      <w:proofErr w:type="spellEnd"/>
      <w:r w:rsidRPr="000F3293">
        <w:rPr>
          <w:rFonts w:cs="Times New Roman"/>
        </w:rPr>
        <w:t xml:space="preserve"> δείχνει ότι σε ορισμένα θεσμικά περιβάλλοντα ο νόμος μπορεί να λειτουργήσει ως μηχανισμός ελέγχου και νομιμοποίησης της επιστροφής, εφόσον η διοίκηση θεμελιώσει επαρκώς την απόφασή της.</w:t>
      </w:r>
    </w:p>
    <w:p w14:paraId="2B6DE51C" w14:textId="77777777" w:rsidR="00C34155" w:rsidRPr="000F3293" w:rsidRDefault="00C34155" w:rsidP="00C34155">
      <w:pPr>
        <w:spacing w:after="120" w:line="360" w:lineRule="auto"/>
        <w:ind w:firstLine="720"/>
        <w:jc w:val="both"/>
        <w:rPr>
          <w:rFonts w:cs="Times New Roman"/>
        </w:rPr>
      </w:pPr>
      <w:r w:rsidRPr="000F3293">
        <w:rPr>
          <w:rFonts w:cs="Times New Roman"/>
        </w:rPr>
        <w:t xml:space="preserve">Η διαδικασία ολοκληρώθηκε σε δεύτερο χρόνο, με την επίσημη μεταβίβαση κυριότητας και την υλική επιστροφή μέρους των αντικειμένων. Στο δελτίο Τύπου της 28ης Νοεμβρίου 2022 ανακοινώθηκε ότι έξι αντικείμενα επρόκειτο να επιστρέψουν στη Νιγηρία, καθώς το </w:t>
      </w:r>
      <w:r w:rsidRPr="000F3293">
        <w:rPr>
          <w:rFonts w:cs="Times New Roman"/>
          <w:lang w:val="en-US"/>
        </w:rPr>
        <w:t>Horniman</w:t>
      </w:r>
      <w:r w:rsidRPr="000F3293">
        <w:rPr>
          <w:rFonts w:cs="Times New Roman"/>
        </w:rPr>
        <w:t xml:space="preserve"> προχωρούσε σε επίσημη μεταβίβαση της κυριότητας των «Μπρούντζινων του Μπενίν». Η μεταγενέστερη ανακοίνωση για τη νέα έκθεση του 2024 διευκρίνισε ότι η επίσημη μεταβίβαση κυριότητας 72 αντικειμένων από το Μπενίν πραγματοποιήθηκε στις 28 Νοεμβρίου 2022, ότι έξι αντικείμενα επέστρεψαν φυσικά στη Νιγηρία το 2022 και ότι τα υπόλοιπα παρέμειναν στο </w:t>
      </w:r>
      <w:r w:rsidRPr="000F3293">
        <w:rPr>
          <w:rFonts w:cs="Times New Roman"/>
          <w:lang w:val="en-US"/>
        </w:rPr>
        <w:t>Horniman</w:t>
      </w:r>
      <w:r w:rsidRPr="000F3293">
        <w:rPr>
          <w:rFonts w:cs="Times New Roman"/>
        </w:rPr>
        <w:t xml:space="preserve"> βάσει συμφωνίας δανεισμού (</w:t>
      </w:r>
      <w:r w:rsidRPr="000F3293">
        <w:rPr>
          <w:rFonts w:cs="Times New Roman"/>
          <w:lang w:val="en-US"/>
        </w:rPr>
        <w:t>Horniman</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and</w:t>
      </w:r>
      <w:r w:rsidRPr="000F3293">
        <w:rPr>
          <w:rFonts w:cs="Times New Roman"/>
        </w:rPr>
        <w:t xml:space="preserve"> </w:t>
      </w:r>
      <w:r w:rsidRPr="000F3293">
        <w:rPr>
          <w:rFonts w:cs="Times New Roman"/>
          <w:lang w:val="en-US"/>
        </w:rPr>
        <w:t>Gardens</w:t>
      </w:r>
      <w:r w:rsidRPr="000F3293">
        <w:rPr>
          <w:rFonts w:cs="Times New Roman"/>
        </w:rPr>
        <w:t>, 2022</w:t>
      </w:r>
      <w:r w:rsidRPr="000F3293">
        <w:rPr>
          <w:rFonts w:cs="Times New Roman"/>
          <w:lang w:val="en-US"/>
        </w:rPr>
        <w:t>b</w:t>
      </w:r>
      <w:r w:rsidRPr="000F3293">
        <w:rPr>
          <w:rFonts w:cs="Times New Roman"/>
        </w:rPr>
        <w:t>, 2024</w:t>
      </w:r>
      <w:r w:rsidRPr="000F3293">
        <w:rPr>
          <w:rFonts w:cs="Times New Roman"/>
          <w:lang w:val="en-US"/>
        </w:rPr>
        <w:t>a</w:t>
      </w:r>
      <w:r w:rsidRPr="000F3293">
        <w:rPr>
          <w:rFonts w:cs="Times New Roman"/>
        </w:rPr>
        <w:t xml:space="preserve">). Εδώ βρίσκεται ένα από τα πιο παραγωγικά διδάγματα της υπόθεσης. Ο δανεισμός δεν λειτούργησε ως </w:t>
      </w:r>
      <w:r w:rsidRPr="000F3293">
        <w:rPr>
          <w:rFonts w:cs="Times New Roman"/>
        </w:rPr>
        <w:lastRenderedPageBreak/>
        <w:t>υποκατάστατο επιστροφής, αλλά ως επόμενη φάση μετά τη μεταβίβαση κυριότητας. Πρώτα αναγνωρίστηκε ότι ο τίτλος ανήκει στη Νιγηρία και έπειτα οργανώθηκε η συνέχιση της έκθεσης κάποιων αντικειμένων στο Λονδίνο. Πρόκειται για μοντέλο εκ διαμέτρου αντίθετο προς αυτό που προτείνεται στην υπόθεση του Παρθενώνα από το Βρετανικό Μουσείο.</w:t>
      </w:r>
    </w:p>
    <w:p w14:paraId="63F6D62F" w14:textId="02172845" w:rsidR="000B0296" w:rsidRPr="000F3293" w:rsidRDefault="00CF49B3" w:rsidP="00C34155">
      <w:pPr>
        <w:spacing w:after="120" w:line="360" w:lineRule="auto"/>
        <w:ind w:firstLine="720"/>
        <w:jc w:val="both"/>
        <w:rPr>
          <w:rFonts w:cs="Times New Roman"/>
        </w:rPr>
      </w:pPr>
      <w:r w:rsidRPr="000F3293">
        <w:rPr>
          <w:rFonts w:cs="Times New Roman"/>
        </w:rPr>
        <w:t xml:space="preserve">Η μετέπειτα εξέλιξη του </w:t>
      </w:r>
      <w:proofErr w:type="spellStart"/>
      <w:r w:rsidRPr="000F3293">
        <w:rPr>
          <w:rFonts w:cs="Times New Roman"/>
        </w:rPr>
        <w:t>Horniman</w:t>
      </w:r>
      <w:proofErr w:type="spellEnd"/>
      <w:r w:rsidRPr="000F3293">
        <w:rPr>
          <w:rFonts w:cs="Times New Roman"/>
        </w:rPr>
        <w:t xml:space="preserve"> δείχνει ότι η απόφαση για το Μπενίν δεν ήταν μεμονωμένο γεγονός. Τον Αύγουστο του 2024 το ίδρυμα ανακοίνωσε την επιστροφή δέκα </w:t>
      </w:r>
      <w:proofErr w:type="spellStart"/>
      <w:r w:rsidRPr="000F3293">
        <w:rPr>
          <w:rFonts w:cs="Times New Roman"/>
        </w:rPr>
        <w:t>Warumungu</w:t>
      </w:r>
      <w:proofErr w:type="spellEnd"/>
      <w:r w:rsidRPr="000F3293">
        <w:rPr>
          <w:rFonts w:cs="Times New Roman"/>
        </w:rPr>
        <w:t xml:space="preserve"> αντικειμένων στην Αυστραλία. Το δελτίο τύπου αναφέρει ότι το αίτημα είχε υποβληθεί στις 3 Μαΐου 2023 και ότι η </w:t>
      </w:r>
      <w:proofErr w:type="spellStart"/>
      <w:r w:rsidRPr="000F3293">
        <w:rPr>
          <w:rFonts w:cs="Times New Roman"/>
        </w:rPr>
        <w:t>Charity</w:t>
      </w:r>
      <w:proofErr w:type="spellEnd"/>
      <w:r w:rsidRPr="000F3293">
        <w:rPr>
          <w:rFonts w:cs="Times New Roman"/>
        </w:rPr>
        <w:t xml:space="preserve"> Commission ενέκρινε την απόφαση των </w:t>
      </w:r>
      <w:proofErr w:type="spellStart"/>
      <w:r w:rsidRPr="000F3293">
        <w:rPr>
          <w:rFonts w:cs="Times New Roman"/>
        </w:rPr>
        <w:t>Trustees</w:t>
      </w:r>
      <w:proofErr w:type="spellEnd"/>
      <w:r w:rsidRPr="000F3293">
        <w:rPr>
          <w:rFonts w:cs="Times New Roman"/>
        </w:rPr>
        <w:t xml:space="preserve"> στις 7 Φεβρουαρίου 2024, αναγνωρίζοντας την «ηθική υποχρέωση» των </w:t>
      </w:r>
      <w:proofErr w:type="spellStart"/>
      <w:r w:rsidRPr="000F3293">
        <w:rPr>
          <w:rFonts w:cs="Times New Roman"/>
        </w:rPr>
        <w:t>Trustees</w:t>
      </w:r>
      <w:proofErr w:type="spellEnd"/>
      <w:r w:rsidRPr="000F3293">
        <w:rPr>
          <w:rFonts w:cs="Times New Roman"/>
        </w:rPr>
        <w:t xml:space="preserve">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2024b). Η σύνδεση αυτή είναι αναλυτικά καίρια. Το </w:t>
      </w:r>
      <w:proofErr w:type="spellStart"/>
      <w:r w:rsidRPr="000F3293">
        <w:rPr>
          <w:rFonts w:cs="Times New Roman"/>
        </w:rPr>
        <w:t>Horniman</w:t>
      </w:r>
      <w:proofErr w:type="spellEnd"/>
      <w:r w:rsidRPr="000F3293">
        <w:rPr>
          <w:rFonts w:cs="Times New Roman"/>
        </w:rPr>
        <w:t xml:space="preserve"> δεν αρκέστηκε να ολοκληρώσει την υπόθεση Μπενίν. Μετέτρεψε την αποκατάσταση σε </w:t>
      </w:r>
      <w:proofErr w:type="spellStart"/>
      <w:r w:rsidRPr="000F3293">
        <w:rPr>
          <w:rFonts w:cs="Times New Roman"/>
        </w:rPr>
        <w:t>επαναλήψιμη</w:t>
      </w:r>
      <w:proofErr w:type="spellEnd"/>
      <w:r w:rsidRPr="000F3293">
        <w:rPr>
          <w:rFonts w:cs="Times New Roman"/>
        </w:rPr>
        <w:t xml:space="preserve"> διοικητική δυνατότητα. Επομένως, η υπόθεση Μπενίν λειτούργησε ως θεσμική απόδειξη της ιδέας.</w:t>
      </w:r>
    </w:p>
    <w:p w14:paraId="23DCDA48" w14:textId="77777777" w:rsidR="003A5DF8" w:rsidRPr="000F3293" w:rsidRDefault="00CF49B3" w:rsidP="003A5DF8">
      <w:pPr>
        <w:spacing w:after="120" w:line="360" w:lineRule="auto"/>
        <w:ind w:firstLine="720"/>
        <w:jc w:val="both"/>
        <w:rPr>
          <w:rFonts w:cs="Times New Roman"/>
        </w:rPr>
      </w:pPr>
      <w:r w:rsidRPr="000F3293">
        <w:rPr>
          <w:rFonts w:cs="Times New Roman"/>
        </w:rPr>
        <w:t xml:space="preserve">Στο σημείο αυτό καθίσταται αναγκαία η ειδική αναφορά στον </w:t>
      </w:r>
      <w:proofErr w:type="spellStart"/>
      <w:r w:rsidRPr="000F3293">
        <w:rPr>
          <w:rFonts w:cs="Times New Roman"/>
        </w:rPr>
        <w:t>Nick</w:t>
      </w:r>
      <w:proofErr w:type="spellEnd"/>
      <w:r w:rsidRPr="000F3293">
        <w:rPr>
          <w:rFonts w:cs="Times New Roman"/>
        </w:rPr>
        <w:t xml:space="preserve"> </w:t>
      </w:r>
      <w:proofErr w:type="spellStart"/>
      <w:r w:rsidRPr="000F3293">
        <w:rPr>
          <w:rFonts w:cs="Times New Roman"/>
        </w:rPr>
        <w:t>Merriman</w:t>
      </w:r>
      <w:proofErr w:type="spellEnd"/>
      <w:r w:rsidRPr="000F3293">
        <w:rPr>
          <w:rFonts w:cs="Times New Roman"/>
        </w:rPr>
        <w:t xml:space="preserve">. Η σημασία του δεν εξαντλείται στο ότι ήταν ο </w:t>
      </w:r>
      <w:proofErr w:type="spellStart"/>
      <w:r w:rsidRPr="000F3293">
        <w:rPr>
          <w:rFonts w:cs="Times New Roman"/>
        </w:rPr>
        <w:t>Chief</w:t>
      </w:r>
      <w:proofErr w:type="spellEnd"/>
      <w:r w:rsidRPr="000F3293">
        <w:rPr>
          <w:rFonts w:cs="Times New Roman"/>
        </w:rPr>
        <w:t xml:space="preserve"> Executive όταν πάρθηκαν οι σχετικές αποφάσεις. Ο </w:t>
      </w:r>
      <w:proofErr w:type="spellStart"/>
      <w:r w:rsidRPr="000F3293">
        <w:rPr>
          <w:rFonts w:cs="Times New Roman"/>
        </w:rPr>
        <w:t>Merriman</w:t>
      </w:r>
      <w:proofErr w:type="spellEnd"/>
      <w:r w:rsidRPr="000F3293">
        <w:rPr>
          <w:rFonts w:cs="Times New Roman"/>
        </w:rPr>
        <w:t xml:space="preserve"> είναι αρχαιολόγος, με σπουδές στο </w:t>
      </w:r>
      <w:proofErr w:type="spellStart"/>
      <w:r w:rsidRPr="000F3293">
        <w:rPr>
          <w:rFonts w:cs="Times New Roman"/>
        </w:rPr>
        <w:t>Cambridge</w:t>
      </w:r>
      <w:proofErr w:type="spellEnd"/>
      <w:r w:rsidRPr="000F3293">
        <w:rPr>
          <w:rFonts w:cs="Times New Roman"/>
        </w:rPr>
        <w:t xml:space="preserve"> και διδακτορική διατριβή που δημοσιεύθηκε ως </w:t>
      </w:r>
      <w:proofErr w:type="spellStart"/>
      <w:r w:rsidRPr="000F3293">
        <w:rPr>
          <w:rFonts w:cs="Times New Roman"/>
        </w:rPr>
        <w:t>Beyond</w:t>
      </w:r>
      <w:proofErr w:type="spellEnd"/>
      <w:r w:rsidRPr="000F3293">
        <w:rPr>
          <w:rFonts w:cs="Times New Roman"/>
        </w:rPr>
        <w:t xml:space="preserve"> the </w:t>
      </w:r>
      <w:proofErr w:type="spellStart"/>
      <w:r w:rsidRPr="000F3293">
        <w:rPr>
          <w:rFonts w:cs="Times New Roman"/>
        </w:rPr>
        <w:t>Glass</w:t>
      </w:r>
      <w:proofErr w:type="spellEnd"/>
      <w:r w:rsidRPr="000F3293">
        <w:rPr>
          <w:rFonts w:cs="Times New Roman"/>
        </w:rPr>
        <w:t xml:space="preserve"> </w:t>
      </w:r>
      <w:proofErr w:type="spellStart"/>
      <w:r w:rsidRPr="000F3293">
        <w:rPr>
          <w:rFonts w:cs="Times New Roman"/>
        </w:rPr>
        <w:t>Case</w:t>
      </w:r>
      <w:proofErr w:type="spellEnd"/>
      <w:r w:rsidRPr="000F3293">
        <w:rPr>
          <w:rFonts w:cs="Times New Roman"/>
        </w:rPr>
        <w:t xml:space="preserve">, ενώ πριν από το </w:t>
      </w:r>
      <w:proofErr w:type="spellStart"/>
      <w:r w:rsidRPr="000F3293">
        <w:rPr>
          <w:rFonts w:cs="Times New Roman"/>
        </w:rPr>
        <w:t>Horniman</w:t>
      </w:r>
      <w:proofErr w:type="spellEnd"/>
      <w:r w:rsidRPr="000F3293">
        <w:rPr>
          <w:rFonts w:cs="Times New Roman"/>
        </w:rPr>
        <w:t xml:space="preserve"> είχε διατελέσει </w:t>
      </w:r>
      <w:proofErr w:type="spellStart"/>
      <w:r w:rsidRPr="000F3293">
        <w:rPr>
          <w:rFonts w:cs="Times New Roman"/>
        </w:rPr>
        <w:t>Director</w:t>
      </w:r>
      <w:proofErr w:type="spellEnd"/>
      <w:r w:rsidRPr="000F3293">
        <w:rPr>
          <w:rFonts w:cs="Times New Roman"/>
        </w:rPr>
        <w:t xml:space="preserve"> του </w:t>
      </w:r>
      <w:proofErr w:type="spellStart"/>
      <w:r w:rsidRPr="000F3293">
        <w:rPr>
          <w:rFonts w:cs="Times New Roman"/>
        </w:rPr>
        <w:t>Manchester</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Η επίσημη βιογραφία του στο </w:t>
      </w:r>
      <w:proofErr w:type="spellStart"/>
      <w:r w:rsidRPr="000F3293">
        <w:rPr>
          <w:rFonts w:cs="Times New Roman"/>
        </w:rPr>
        <w:t>Horniman</w:t>
      </w:r>
      <w:proofErr w:type="spellEnd"/>
      <w:r w:rsidRPr="000F3293">
        <w:rPr>
          <w:rFonts w:cs="Times New Roman"/>
        </w:rPr>
        <w:t xml:space="preserve"> υπογραμμίζει ότι έχει δημοσιεύσει εκτενώς, ότι υπήρξε </w:t>
      </w:r>
      <w:proofErr w:type="spellStart"/>
      <w:r w:rsidRPr="000F3293">
        <w:rPr>
          <w:rFonts w:cs="Times New Roman"/>
        </w:rPr>
        <w:t>chair</w:t>
      </w:r>
      <w:proofErr w:type="spellEnd"/>
      <w:r w:rsidRPr="000F3293">
        <w:rPr>
          <w:rFonts w:cs="Times New Roman"/>
        </w:rPr>
        <w:t xml:space="preserve"> του ICOM UK και πρόεδρος του Council for British </w:t>
      </w:r>
      <w:proofErr w:type="spellStart"/>
      <w:r w:rsidRPr="000F3293">
        <w:rPr>
          <w:rFonts w:cs="Times New Roman"/>
        </w:rPr>
        <w:t>Archaeology</w:t>
      </w:r>
      <w:proofErr w:type="spellEnd"/>
      <w:r w:rsidRPr="000F3293">
        <w:rPr>
          <w:rFonts w:cs="Times New Roman"/>
        </w:rPr>
        <w:t>, δηλαδή ότι πρόκειται για πρόσωπο με ισχυρό επιστημονικό και διοικητικό κύρος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.-a). Η ακαδημαϊκή του ταυτότητα έχει ιδιαίτερη σημασία, επειδή η μετατόπιση προς την αποκατάσταση δεν εμφανίζεται ως καθαρά </w:t>
      </w:r>
      <w:proofErr w:type="spellStart"/>
      <w:r w:rsidRPr="000F3293">
        <w:rPr>
          <w:rFonts w:cs="Times New Roman"/>
        </w:rPr>
        <w:t>ακτιβιστική</w:t>
      </w:r>
      <w:proofErr w:type="spellEnd"/>
      <w:r w:rsidRPr="000F3293">
        <w:rPr>
          <w:rFonts w:cs="Times New Roman"/>
        </w:rPr>
        <w:t xml:space="preserve"> στάση, αλλά ως αποτέλεσμα στοχασμού από έναν επαγγελματία της αρχαιολογίας και της </w:t>
      </w:r>
      <w:proofErr w:type="spellStart"/>
      <w:r w:rsidRPr="000F3293">
        <w:rPr>
          <w:rFonts w:cs="Times New Roman"/>
        </w:rPr>
        <w:t>μουσειολογίας</w:t>
      </w:r>
      <w:proofErr w:type="spellEnd"/>
      <w:r w:rsidRPr="000F3293">
        <w:rPr>
          <w:rFonts w:cs="Times New Roman"/>
        </w:rPr>
        <w:t>.</w:t>
      </w:r>
    </w:p>
    <w:p w14:paraId="27A4D63C" w14:textId="13C5BC7E" w:rsidR="003A5DF8" w:rsidRPr="000F3293" w:rsidRDefault="003A5DF8" w:rsidP="003A5DF8">
      <w:pPr>
        <w:spacing w:after="120" w:line="360" w:lineRule="auto"/>
        <w:ind w:firstLine="720"/>
        <w:jc w:val="both"/>
        <w:rPr>
          <w:rFonts w:cs="Times New Roman"/>
        </w:rPr>
      </w:pPr>
      <w:r w:rsidRPr="000F3293">
        <w:rPr>
          <w:rFonts w:cs="Times New Roman"/>
        </w:rPr>
        <w:t xml:space="preserve">Από πολύ νωρίς στη θητεία του, ο </w:t>
      </w:r>
      <w:r w:rsidRPr="000F3293">
        <w:rPr>
          <w:rFonts w:cs="Times New Roman"/>
          <w:lang w:val="en-US"/>
        </w:rPr>
        <w:t>Merriman</w:t>
      </w:r>
      <w:r w:rsidRPr="000F3293">
        <w:rPr>
          <w:rFonts w:cs="Times New Roman"/>
        </w:rPr>
        <w:t xml:space="preserve"> κατέστησε σαφή έναν στρατηγικό αναπροσανατολισμό του μουσείου. Σε επίσημη ανακοίνωση της 1ης Ιουνίου 2018, λίγο πριν από το άνοιγμα της Παγκόσμιας Αίθουσας, παρουσίασε όραμα που έδινε έμφαση στη διαφορετικότητα, στην κατανόηση μεταξύ πολιτισμών και στα περιβαλλοντικά ζητήματα, προβάλλοντας το </w:t>
      </w:r>
      <w:r w:rsidRPr="000F3293">
        <w:rPr>
          <w:rFonts w:cs="Times New Roman"/>
          <w:lang w:val="en-US"/>
        </w:rPr>
        <w:t>Horniman</w:t>
      </w:r>
      <w:r w:rsidRPr="000F3293">
        <w:rPr>
          <w:rFonts w:cs="Times New Roman"/>
        </w:rPr>
        <w:t xml:space="preserve"> ως λονδρέζικο σημείο αναφοράς για μια ολιστική και πολιτισμικά δημοκρατική μουσειακή προσέγγιση (</w:t>
      </w:r>
      <w:r w:rsidRPr="000F3293">
        <w:rPr>
          <w:rFonts w:cs="Times New Roman"/>
          <w:lang w:val="en-US"/>
        </w:rPr>
        <w:t>Horniman</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and</w:t>
      </w:r>
      <w:r w:rsidRPr="000F3293">
        <w:rPr>
          <w:rFonts w:cs="Times New Roman"/>
        </w:rPr>
        <w:t xml:space="preserve"> </w:t>
      </w:r>
      <w:r w:rsidRPr="000F3293">
        <w:rPr>
          <w:rFonts w:cs="Times New Roman"/>
          <w:lang w:val="en-US"/>
        </w:rPr>
        <w:t>Gardens</w:t>
      </w:r>
      <w:r w:rsidRPr="000F3293">
        <w:rPr>
          <w:rFonts w:cs="Times New Roman"/>
        </w:rPr>
        <w:t xml:space="preserve">, 2018). Η γραμμή αυτή δεν </w:t>
      </w:r>
      <w:r w:rsidRPr="000F3293">
        <w:rPr>
          <w:rFonts w:cs="Times New Roman"/>
        </w:rPr>
        <w:lastRenderedPageBreak/>
        <w:t xml:space="preserve">ήταν αποσπασματική. Το 2020, σε κείμενο με τίτλο «Η αποικιακή κληρονομιά του </w:t>
      </w:r>
      <w:r w:rsidRPr="000F3293">
        <w:rPr>
          <w:rFonts w:cs="Times New Roman"/>
          <w:lang w:val="en-US"/>
        </w:rPr>
        <w:t>Frederick</w:t>
      </w:r>
      <w:r w:rsidRPr="000F3293">
        <w:rPr>
          <w:rFonts w:cs="Times New Roman"/>
        </w:rPr>
        <w:t xml:space="preserve"> </w:t>
      </w:r>
      <w:r w:rsidRPr="000F3293">
        <w:rPr>
          <w:rFonts w:cs="Times New Roman"/>
          <w:lang w:val="en-US"/>
        </w:rPr>
        <w:t>Horniman</w:t>
      </w:r>
      <w:r w:rsidRPr="000F3293">
        <w:rPr>
          <w:rFonts w:cs="Times New Roman"/>
        </w:rPr>
        <w:t xml:space="preserve">», ο ίδιος ο </w:t>
      </w:r>
      <w:r w:rsidRPr="000F3293">
        <w:rPr>
          <w:rFonts w:cs="Times New Roman"/>
          <w:lang w:val="en-US"/>
        </w:rPr>
        <w:t>Merriman</w:t>
      </w:r>
      <w:r w:rsidRPr="000F3293">
        <w:rPr>
          <w:rFonts w:cs="Times New Roman"/>
        </w:rPr>
        <w:t xml:space="preserve"> έγραψε ρητά ότι το μουσείο, όπως και πολλά άλλα ανθρωπολογικά μουσεία, διαθέτει αντικείμενα που αποκτήθηκαν μέσω αποικιακής βίας, με πιο χαρακτηριστικό παράδειγμα τα Μπρούντζινα του Μπενίν, και ότι καθήκον του μουσείου είναι να αφηγείται την ιστορία των συλλογών όσο το δυνατόν πιο πλήρως και δίκαια και να χρησιμοποιεί ό,τι κληρονόμησε για να αντιμετωπίσει αδικίες που δεν αναγνωρίστηκαν στον παρελθόντα χρόνο (</w:t>
      </w:r>
      <w:r w:rsidRPr="000F3293">
        <w:rPr>
          <w:rFonts w:cs="Times New Roman"/>
          <w:lang w:val="en-US"/>
        </w:rPr>
        <w:t>Horniman</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and</w:t>
      </w:r>
      <w:r w:rsidRPr="000F3293">
        <w:rPr>
          <w:rFonts w:cs="Times New Roman"/>
        </w:rPr>
        <w:t xml:space="preserve"> </w:t>
      </w:r>
      <w:r w:rsidRPr="000F3293">
        <w:rPr>
          <w:rFonts w:cs="Times New Roman"/>
          <w:lang w:val="en-US"/>
        </w:rPr>
        <w:t>Gardens</w:t>
      </w:r>
      <w:r w:rsidRPr="000F3293">
        <w:rPr>
          <w:rFonts w:cs="Times New Roman"/>
        </w:rPr>
        <w:t>, 2020). Πρόκειται για κομβικό δημόσιο κείμενο, διότι δείχνει ότι η αποκατάσταση δεν υπήρξε μεταγενέστερη, ευκαιριακή αντίδραση, αλλά μέρος μιας ευρύτερης ηθικής και ερμηνευτικής επανεξέτασης.</w:t>
      </w:r>
    </w:p>
    <w:p w14:paraId="6036E232" w14:textId="77777777" w:rsidR="000B0296" w:rsidRPr="000F3293" w:rsidRDefault="00CF49B3" w:rsidP="003A5DF8">
      <w:pPr>
        <w:spacing w:after="120" w:line="360" w:lineRule="auto"/>
        <w:ind w:firstLine="720"/>
        <w:jc w:val="both"/>
        <w:rPr>
          <w:rFonts w:cs="Times New Roman"/>
        </w:rPr>
      </w:pPr>
      <w:r w:rsidRPr="000F3293">
        <w:rPr>
          <w:rFonts w:cs="Times New Roman"/>
        </w:rPr>
        <w:t xml:space="preserve">Το έργο του </w:t>
      </w:r>
      <w:proofErr w:type="spellStart"/>
      <w:r w:rsidRPr="000F3293">
        <w:rPr>
          <w:rFonts w:cs="Times New Roman"/>
        </w:rPr>
        <w:t>Merriman</w:t>
      </w:r>
      <w:proofErr w:type="spellEnd"/>
      <w:r w:rsidRPr="000F3293">
        <w:rPr>
          <w:rFonts w:cs="Times New Roman"/>
        </w:rPr>
        <w:t xml:space="preserve"> κορυφώθηκε επιστημονικά με το βιβλίο </w:t>
      </w:r>
      <w:proofErr w:type="spellStart"/>
      <w:r w:rsidRPr="000F3293">
        <w:rPr>
          <w:rFonts w:cs="Times New Roman"/>
        </w:rPr>
        <w:t>Returning</w:t>
      </w:r>
      <w:proofErr w:type="spellEnd"/>
      <w:r w:rsidRPr="000F3293">
        <w:rPr>
          <w:rFonts w:cs="Times New Roman"/>
        </w:rPr>
        <w:t xml:space="preserve"> the </w:t>
      </w:r>
      <w:proofErr w:type="spellStart"/>
      <w:r w:rsidRPr="000F3293">
        <w:rPr>
          <w:rFonts w:cs="Times New Roman"/>
        </w:rPr>
        <w:t>Benin</w:t>
      </w:r>
      <w:proofErr w:type="spellEnd"/>
      <w:r w:rsidRPr="000F3293">
        <w:rPr>
          <w:rFonts w:cs="Times New Roman"/>
        </w:rPr>
        <w:t xml:space="preserve"> </w:t>
      </w:r>
      <w:proofErr w:type="spellStart"/>
      <w:r w:rsidRPr="000F3293">
        <w:rPr>
          <w:rFonts w:cs="Times New Roman"/>
        </w:rPr>
        <w:t>Bronzes</w:t>
      </w:r>
      <w:proofErr w:type="spellEnd"/>
      <w:r w:rsidRPr="000F3293">
        <w:rPr>
          <w:rFonts w:cs="Times New Roman"/>
        </w:rPr>
        <w:t xml:space="preserve">: A </w:t>
      </w:r>
      <w:proofErr w:type="spellStart"/>
      <w:r w:rsidRPr="000F3293">
        <w:rPr>
          <w:rFonts w:cs="Times New Roman"/>
        </w:rPr>
        <w:t>Case</w:t>
      </w:r>
      <w:proofErr w:type="spellEnd"/>
      <w:r w:rsidRPr="000F3293">
        <w:rPr>
          <w:rFonts w:cs="Times New Roman"/>
        </w:rPr>
        <w:t xml:space="preserve"> </w:t>
      </w:r>
      <w:proofErr w:type="spellStart"/>
      <w:r w:rsidRPr="000F3293">
        <w:rPr>
          <w:rFonts w:cs="Times New Roman"/>
        </w:rPr>
        <w:t>Study</w:t>
      </w:r>
      <w:proofErr w:type="spellEnd"/>
      <w:r w:rsidRPr="000F3293">
        <w:rPr>
          <w:rFonts w:cs="Times New Roman"/>
        </w:rPr>
        <w:t xml:space="preserve"> of the </w:t>
      </w:r>
      <w:proofErr w:type="spellStart"/>
      <w:r w:rsidRPr="000F3293">
        <w:rPr>
          <w:rFonts w:cs="Times New Roman"/>
        </w:rPr>
        <w:t>Horniman's</w:t>
      </w:r>
      <w:proofErr w:type="spellEnd"/>
      <w:r w:rsidRPr="000F3293">
        <w:rPr>
          <w:rFonts w:cs="Times New Roman"/>
        </w:rPr>
        <w:t xml:space="preserve"> </w:t>
      </w:r>
      <w:proofErr w:type="spellStart"/>
      <w:r w:rsidRPr="000F3293">
        <w:rPr>
          <w:rFonts w:cs="Times New Roman"/>
        </w:rPr>
        <w:t>restitution</w:t>
      </w:r>
      <w:proofErr w:type="spellEnd"/>
      <w:r w:rsidRPr="000F3293">
        <w:rPr>
          <w:rFonts w:cs="Times New Roman"/>
        </w:rPr>
        <w:t>, στο οποίο παρουσιάζει λεπτομερώς τη μεταβίβαση κυριότητας των 72 αντικειμένων στη Νιγηρία τον Νοέμβριο του 2022 και υποστηρίζει ότι η διεθνής συζήτηση περνά από μια περίοδο δεκαετιών διαλόγου με ελάχιστη πράξη σε μια νέα φάση, όπου τα πιο κατάφωρα παραδείγματα αποικιακής λεηλασίας αρχίζουν πλέον να αντιμετωπίζονται έμπρακτα (</w:t>
      </w:r>
      <w:proofErr w:type="spellStart"/>
      <w:r w:rsidRPr="000F3293">
        <w:rPr>
          <w:rFonts w:cs="Times New Roman"/>
        </w:rPr>
        <w:t>Merriman</w:t>
      </w:r>
      <w:proofErr w:type="spellEnd"/>
      <w:r w:rsidRPr="000F3293">
        <w:rPr>
          <w:rFonts w:cs="Times New Roman"/>
        </w:rPr>
        <w:t xml:space="preserve">, 2024). Το βιβλίο είναι εξαιρετικά χρήσιμο για την παρούσα εργασία, επειδή επιτρέπει να δούμε την επιστροφή όχι ως «ήττα» του μουσείου, αλλά ως ευκαιρία αναδιαμόρφωσης των σχέσεων με τις κοινότητες προέλευσης, των τρόπων έκθεσης και της ίδιας της θεσμικής </w:t>
      </w:r>
      <w:proofErr w:type="spellStart"/>
      <w:r w:rsidRPr="000F3293">
        <w:rPr>
          <w:rFonts w:cs="Times New Roman"/>
        </w:rPr>
        <w:t>αυτοκατανόησης</w:t>
      </w:r>
      <w:proofErr w:type="spellEnd"/>
      <w:r w:rsidRPr="000F3293">
        <w:rPr>
          <w:rFonts w:cs="Times New Roman"/>
        </w:rPr>
        <w:t>.</w:t>
      </w:r>
    </w:p>
    <w:p w14:paraId="03CC1839" w14:textId="01F3E077" w:rsidR="000B0296" w:rsidRPr="000F3293" w:rsidRDefault="00CF49B3" w:rsidP="003A5DF8">
      <w:pPr>
        <w:spacing w:after="120" w:line="360" w:lineRule="auto"/>
        <w:ind w:firstLine="720"/>
        <w:jc w:val="both"/>
        <w:rPr>
          <w:rFonts w:cs="Times New Roman"/>
        </w:rPr>
      </w:pPr>
      <w:r w:rsidRPr="000F3293">
        <w:rPr>
          <w:rFonts w:cs="Times New Roman"/>
        </w:rPr>
        <w:t xml:space="preserve">Σημαντική είναι και η δημόσια παρουσία του </w:t>
      </w:r>
      <w:proofErr w:type="spellStart"/>
      <w:r w:rsidRPr="000F3293">
        <w:rPr>
          <w:rFonts w:cs="Times New Roman"/>
        </w:rPr>
        <w:t>Merriman</w:t>
      </w:r>
      <w:proofErr w:type="spellEnd"/>
      <w:r w:rsidRPr="000F3293">
        <w:rPr>
          <w:rFonts w:cs="Times New Roman"/>
        </w:rPr>
        <w:t xml:space="preserve"> μέσω βίντεο και συνεντεύξεων. Στο επίσημο οπτικοακουστικό υλικό για τη World </w:t>
      </w:r>
      <w:proofErr w:type="spellStart"/>
      <w:r w:rsidRPr="000F3293">
        <w:rPr>
          <w:rFonts w:cs="Times New Roman"/>
        </w:rPr>
        <w:t>Gallery</w:t>
      </w:r>
      <w:proofErr w:type="spellEnd"/>
      <w:r w:rsidRPr="000F3293">
        <w:rPr>
          <w:rFonts w:cs="Times New Roman"/>
        </w:rPr>
        <w:t xml:space="preserve">, η φωνή του συνδέεται με την προσπάθεια να παρουσιαστεί το </w:t>
      </w:r>
      <w:proofErr w:type="spellStart"/>
      <w:r w:rsidRPr="000F3293">
        <w:rPr>
          <w:rFonts w:cs="Times New Roman"/>
        </w:rPr>
        <w:t>Horniman</w:t>
      </w:r>
      <w:proofErr w:type="spellEnd"/>
      <w:r w:rsidRPr="000F3293">
        <w:rPr>
          <w:rFonts w:cs="Times New Roman"/>
        </w:rPr>
        <w:t xml:space="preserve"> ως χώρος διαλόγου ανάμεσα σε παγκόσμιους πολιτισμούς χωρίς να αποκρύπτονται τα δύσκολα ιστορικά </w:t>
      </w:r>
      <w:proofErr w:type="spellStart"/>
      <w:r w:rsidRPr="000F3293">
        <w:rPr>
          <w:rFonts w:cs="Times New Roman"/>
        </w:rPr>
        <w:t>συμφραζόμενα</w:t>
      </w:r>
      <w:proofErr w:type="spellEnd"/>
      <w:r w:rsidRPr="000F3293">
        <w:rPr>
          <w:rFonts w:cs="Times New Roman"/>
        </w:rPr>
        <w:t xml:space="preserve">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.-b). Σε βίντεο του </w:t>
      </w:r>
      <w:proofErr w:type="spellStart"/>
      <w:r w:rsidRPr="000F3293">
        <w:rPr>
          <w:rFonts w:cs="Times New Roman"/>
        </w:rPr>
        <w:t>Art</w:t>
      </w:r>
      <w:proofErr w:type="spellEnd"/>
      <w:r w:rsidRPr="000F3293">
        <w:rPr>
          <w:rFonts w:cs="Times New Roman"/>
        </w:rPr>
        <w:t xml:space="preserve"> Fund σχετικά με τη βράβευση του </w:t>
      </w:r>
      <w:proofErr w:type="spellStart"/>
      <w:r w:rsidRPr="000F3293">
        <w:rPr>
          <w:rFonts w:cs="Times New Roman"/>
        </w:rPr>
        <w:t>Horniman</w:t>
      </w:r>
      <w:proofErr w:type="spellEnd"/>
      <w:r w:rsidRPr="000F3293">
        <w:rPr>
          <w:rFonts w:cs="Times New Roman"/>
        </w:rPr>
        <w:t xml:space="preserve"> ως </w:t>
      </w:r>
      <w:proofErr w:type="spellStart"/>
      <w:r w:rsidRPr="000F3293">
        <w:rPr>
          <w:rFonts w:cs="Times New Roman"/>
        </w:rPr>
        <w:t>Museum</w:t>
      </w:r>
      <w:proofErr w:type="spellEnd"/>
      <w:r w:rsidRPr="000F3293">
        <w:rPr>
          <w:rFonts w:cs="Times New Roman"/>
        </w:rPr>
        <w:t xml:space="preserve"> of the </w:t>
      </w:r>
      <w:proofErr w:type="spellStart"/>
      <w:r w:rsidRPr="000F3293">
        <w:rPr>
          <w:rFonts w:cs="Times New Roman"/>
        </w:rPr>
        <w:t>Year</w:t>
      </w:r>
      <w:proofErr w:type="spellEnd"/>
      <w:r w:rsidRPr="000F3293">
        <w:rPr>
          <w:rFonts w:cs="Times New Roman"/>
        </w:rPr>
        <w:t xml:space="preserve"> 2022, ο </w:t>
      </w:r>
      <w:proofErr w:type="spellStart"/>
      <w:r w:rsidRPr="000F3293">
        <w:rPr>
          <w:rFonts w:cs="Times New Roman"/>
        </w:rPr>
        <w:t>Merriman</w:t>
      </w:r>
      <w:proofErr w:type="spellEnd"/>
      <w:r w:rsidRPr="000F3293">
        <w:rPr>
          <w:rFonts w:cs="Times New Roman"/>
        </w:rPr>
        <w:t xml:space="preserve"> εμφανίζεται ως δημόσιος εκπρόσωπος ενός μουσείου που προβάλλεται ως κοινωνικά σχετικό, ανοιχτό και εξωστρεφές ίδρυμα (</w:t>
      </w:r>
      <w:proofErr w:type="spellStart"/>
      <w:r w:rsidRPr="000F3293">
        <w:rPr>
          <w:rFonts w:cs="Times New Roman"/>
        </w:rPr>
        <w:t>Art</w:t>
      </w:r>
      <w:proofErr w:type="spellEnd"/>
      <w:r w:rsidRPr="000F3293">
        <w:rPr>
          <w:rFonts w:cs="Times New Roman"/>
        </w:rPr>
        <w:t xml:space="preserve"> Fund, </w:t>
      </w:r>
      <w:proofErr w:type="spellStart"/>
      <w:r w:rsidRPr="000F3293">
        <w:rPr>
          <w:rFonts w:cs="Times New Roman"/>
        </w:rPr>
        <w:t>n.d</w:t>
      </w:r>
      <w:proofErr w:type="spellEnd"/>
      <w:r w:rsidRPr="000F3293">
        <w:rPr>
          <w:rFonts w:cs="Times New Roman"/>
        </w:rPr>
        <w:t xml:space="preserve">.). Αντίστοιχα, στη συνέντευξη TBIH2023 για το </w:t>
      </w:r>
      <w:proofErr w:type="spellStart"/>
      <w:r w:rsidRPr="000F3293">
        <w:rPr>
          <w:rFonts w:cs="Times New Roman"/>
        </w:rPr>
        <w:t>Horniman</w:t>
      </w:r>
      <w:proofErr w:type="spellEnd"/>
      <w:r w:rsidRPr="000F3293">
        <w:rPr>
          <w:rFonts w:cs="Times New Roman"/>
        </w:rPr>
        <w:t xml:space="preserve">, η αποκατάσταση παρουσιάζεται ως μέρος μιας ευρύτερης συζήτησης για το πώς ένα μουσείο μπορεί να παραμείνει θεσμικά αξιόπιστο και κοινωνικά σύγχρονο (The Best in </w:t>
      </w:r>
      <w:proofErr w:type="spellStart"/>
      <w:r w:rsidRPr="000F3293">
        <w:rPr>
          <w:rFonts w:cs="Times New Roman"/>
        </w:rPr>
        <w:t>Heritage</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 Για μια ακαδημαϊκή ανάλυση των μουσείων ως θεσμών επικοινωνίας, αυτή η δημόσια παρουσία έχει μεγάλη σημασία. Δείχνει ότι η πολιτική </w:t>
      </w:r>
      <w:r w:rsidRPr="000F3293">
        <w:rPr>
          <w:rFonts w:cs="Times New Roman"/>
        </w:rPr>
        <w:lastRenderedPageBreak/>
        <w:t xml:space="preserve">επιστροφών δεν εξαντλείται στα πρακτικά των </w:t>
      </w:r>
      <w:proofErr w:type="spellStart"/>
      <w:r w:rsidRPr="000F3293">
        <w:rPr>
          <w:rFonts w:cs="Times New Roman"/>
        </w:rPr>
        <w:t>Trustees</w:t>
      </w:r>
      <w:proofErr w:type="spellEnd"/>
      <w:r w:rsidRPr="000F3293">
        <w:rPr>
          <w:rFonts w:cs="Times New Roman"/>
        </w:rPr>
        <w:t xml:space="preserve"> ή στις νομικές εγκρίσεις. Απαιτεί και πρόσωπα που μπορούν να τη μεταφράσουν σε κατανοητό, δημόσιο και διεθνώς πειστικό αφήγημα.</w:t>
      </w:r>
    </w:p>
    <w:p w14:paraId="28A8C9C0" w14:textId="2755AB68" w:rsidR="000B0296" w:rsidRPr="000F3293" w:rsidRDefault="00CF49B3" w:rsidP="0043019D">
      <w:pPr>
        <w:spacing w:after="120" w:line="360" w:lineRule="auto"/>
        <w:ind w:firstLine="720"/>
        <w:jc w:val="both"/>
        <w:rPr>
          <w:rFonts w:cs="Times New Roman"/>
        </w:rPr>
      </w:pPr>
      <w:r w:rsidRPr="000F3293">
        <w:rPr>
          <w:rFonts w:cs="Times New Roman"/>
        </w:rPr>
        <w:t xml:space="preserve">Οι βασικές φωνές που ενεργοποιήθηκαν υπέρ της επιστροφής στο </w:t>
      </w:r>
      <w:proofErr w:type="spellStart"/>
      <w:r w:rsidRPr="000F3293">
        <w:rPr>
          <w:rFonts w:cs="Times New Roman"/>
        </w:rPr>
        <w:t>Horniman</w:t>
      </w:r>
      <w:proofErr w:type="spellEnd"/>
      <w:r w:rsidRPr="000F3293">
        <w:rPr>
          <w:rFonts w:cs="Times New Roman"/>
        </w:rPr>
        <w:t xml:space="preserve"> δεν ήταν μόνο διοικητικές. Το ίδιο το μουσείο υπογραμμίζει τον ρόλο της νιγηριανής διασποράς στο Ηνωμένο Βασίλειο, των κοινοτήτων, των επισκεπτών, των καλλιτεχνών και των ακαδημαϊκών που συμμετείχαν στη </w:t>
      </w:r>
      <w:proofErr w:type="spellStart"/>
      <w:r w:rsidRPr="000F3293">
        <w:rPr>
          <w:rFonts w:cs="Times New Roman"/>
        </w:rPr>
        <w:t>consultation</w:t>
      </w:r>
      <w:proofErr w:type="spellEnd"/>
      <w:r w:rsidRPr="000F3293">
        <w:rPr>
          <w:rFonts w:cs="Times New Roman"/>
        </w:rPr>
        <w:t xml:space="preserve">. Η δήλωση του </w:t>
      </w:r>
      <w:proofErr w:type="spellStart"/>
      <w:r w:rsidRPr="000F3293">
        <w:rPr>
          <w:rFonts w:cs="Times New Roman"/>
        </w:rPr>
        <w:t>Abba</w:t>
      </w:r>
      <w:proofErr w:type="spellEnd"/>
      <w:r w:rsidRPr="000F3293">
        <w:rPr>
          <w:rFonts w:cs="Times New Roman"/>
        </w:rPr>
        <w:t xml:space="preserve"> </w:t>
      </w:r>
      <w:proofErr w:type="spellStart"/>
      <w:r w:rsidRPr="000F3293">
        <w:rPr>
          <w:rFonts w:cs="Times New Roman"/>
        </w:rPr>
        <w:t>Tijani</w:t>
      </w:r>
      <w:proofErr w:type="spellEnd"/>
      <w:r w:rsidRPr="000F3293">
        <w:rPr>
          <w:rFonts w:cs="Times New Roman"/>
        </w:rPr>
        <w:t xml:space="preserve"> από το NCMM, όπως ενσωματώνεται στα δελτία τύπου, μεταθέτει αμέσως το βάρος από την αντιπαράθεση στη μελλοντική συνεργασία για δάνεια και συνεργασίες, ενώ η νέα απεικόνιση του 2024 στηρίζεται σε συνεργασία με Νιγηριανούς καλλιτέχνες, συνεργάτες και νέους για να ειπωθεί «μια πληρέστερη ιστορία» για το </w:t>
      </w:r>
      <w:proofErr w:type="spellStart"/>
      <w:r w:rsidRPr="000F3293">
        <w:rPr>
          <w:rFonts w:cs="Times New Roman"/>
        </w:rPr>
        <w:t>Great</w:t>
      </w:r>
      <w:proofErr w:type="spellEnd"/>
      <w:r w:rsidRPr="000F3293">
        <w:rPr>
          <w:rFonts w:cs="Times New Roman"/>
        </w:rPr>
        <w:t xml:space="preserve"> </w:t>
      </w:r>
      <w:proofErr w:type="spellStart"/>
      <w:r w:rsidRPr="000F3293">
        <w:rPr>
          <w:rFonts w:cs="Times New Roman"/>
        </w:rPr>
        <w:t>Kingdom</w:t>
      </w:r>
      <w:proofErr w:type="spellEnd"/>
      <w:r w:rsidRPr="000F3293">
        <w:rPr>
          <w:rFonts w:cs="Times New Roman"/>
        </w:rPr>
        <w:t xml:space="preserve"> of </w:t>
      </w:r>
      <w:proofErr w:type="spellStart"/>
      <w:r w:rsidRPr="000F3293">
        <w:rPr>
          <w:rFonts w:cs="Times New Roman"/>
        </w:rPr>
        <w:t>Benin</w:t>
      </w:r>
      <w:proofErr w:type="spellEnd"/>
      <w:r w:rsidRPr="000F3293">
        <w:rPr>
          <w:rFonts w:cs="Times New Roman"/>
        </w:rPr>
        <w:t xml:space="preserve"> και τη σημερινή </w:t>
      </w:r>
      <w:proofErr w:type="spellStart"/>
      <w:r w:rsidRPr="000F3293">
        <w:rPr>
          <w:rFonts w:cs="Times New Roman"/>
        </w:rPr>
        <w:t>Benin</w:t>
      </w:r>
      <w:proofErr w:type="spellEnd"/>
      <w:r w:rsidRPr="000F3293">
        <w:rPr>
          <w:rFonts w:cs="Times New Roman"/>
        </w:rPr>
        <w:t xml:space="preserve"> </w:t>
      </w:r>
      <w:proofErr w:type="spellStart"/>
      <w:r w:rsidRPr="000F3293">
        <w:rPr>
          <w:rFonts w:cs="Times New Roman"/>
        </w:rPr>
        <w:t>City</w:t>
      </w:r>
      <w:proofErr w:type="spellEnd"/>
      <w:r w:rsidRPr="000F3293">
        <w:rPr>
          <w:rFonts w:cs="Times New Roman"/>
        </w:rPr>
        <w:t xml:space="preserve">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2022a, 2024a). Έτσι, το μουσείο δεν αφηγείται την επιστροφή ως πράξη απώλειας. Την αφηγείται ως αρχή μιας διαφορετικής σχέσης γνώσης, επιμέλειας και αφήγησης.</w:t>
      </w:r>
    </w:p>
    <w:p w14:paraId="6E508F75" w14:textId="7D6B5350" w:rsidR="000B0296" w:rsidRPr="000F3293" w:rsidRDefault="00CF49B3" w:rsidP="0043019D">
      <w:pPr>
        <w:spacing w:after="120" w:line="360" w:lineRule="auto"/>
        <w:ind w:firstLine="720"/>
        <w:jc w:val="both"/>
        <w:rPr>
          <w:rFonts w:cs="Times New Roman"/>
        </w:rPr>
      </w:pPr>
      <w:r w:rsidRPr="000F3293">
        <w:rPr>
          <w:rFonts w:cs="Times New Roman"/>
        </w:rPr>
        <w:t xml:space="preserve">Αναμφίβολα, και εδώ υπάρχουν συμφέροντα. Η επιστροφή ενίσχυσε το ηθικό κύρος του </w:t>
      </w:r>
      <w:proofErr w:type="spellStart"/>
      <w:r w:rsidRPr="000F3293">
        <w:rPr>
          <w:rFonts w:cs="Times New Roman"/>
        </w:rPr>
        <w:t>Horniman</w:t>
      </w:r>
      <w:proofErr w:type="spellEnd"/>
      <w:r w:rsidRPr="000F3293">
        <w:rPr>
          <w:rFonts w:cs="Times New Roman"/>
        </w:rPr>
        <w:t xml:space="preserve">, την </w:t>
      </w:r>
      <w:proofErr w:type="spellStart"/>
      <w:r w:rsidRPr="000F3293">
        <w:rPr>
          <w:rFonts w:cs="Times New Roman"/>
        </w:rPr>
        <w:t>αναγνωρισιμότητά</w:t>
      </w:r>
      <w:proofErr w:type="spellEnd"/>
      <w:r w:rsidRPr="000F3293">
        <w:rPr>
          <w:rFonts w:cs="Times New Roman"/>
        </w:rPr>
        <w:t xml:space="preserve"> του διεθνώς και την εικόνα του ως καινοτόμου και κοινωνικά υπεύθυνου μουσείου. Το γεγονός ότι το μουσείο κατόρθωσε να διατηρήσει μέρος των αντικειμένων σε έκθεση υπό καθεστώς δανεισμού μετά τη μεταβίβαση κυριότητας δείχνει επίσης ότι η αποκατάσταση δεν συνεπάγεται κατ' ανάγκην εκκένωση των γκαλερί. Αντιθέτως, μπορεί να δημιουργήσει νέα, ίσως πλουσιότερα, ερμηνευτικά πλαίσια. Η διαφορά σε σχέση με το Βρετανικό Μουσείο είναι ότι εδώ το θεσμικό συμφέρον του μουσείου επανασχεδιάζεται ως συμβατό με την ηθική επανόρθωση και όχι ως αντίπαλό της.</w:t>
      </w:r>
    </w:p>
    <w:p w14:paraId="42C19D44" w14:textId="2CF848DA" w:rsidR="000B0296" w:rsidRPr="000F3293" w:rsidRDefault="00CF49B3" w:rsidP="003A5DF8">
      <w:pPr>
        <w:spacing w:after="120" w:line="360" w:lineRule="auto"/>
        <w:ind w:firstLine="720"/>
        <w:jc w:val="both"/>
        <w:rPr>
          <w:rFonts w:cs="Times New Roman"/>
        </w:rPr>
      </w:pPr>
      <w:r w:rsidRPr="000F3293">
        <w:rPr>
          <w:rFonts w:cs="Times New Roman"/>
        </w:rPr>
        <w:t xml:space="preserve">Συνολικά, το </w:t>
      </w:r>
      <w:proofErr w:type="spellStart"/>
      <w:r w:rsidRPr="000F3293">
        <w:rPr>
          <w:rFonts w:cs="Times New Roman"/>
        </w:rPr>
        <w:t>Horniman</w:t>
      </w:r>
      <w:proofErr w:type="spellEnd"/>
      <w:r w:rsidRPr="000F3293">
        <w:rPr>
          <w:rFonts w:cs="Times New Roman"/>
        </w:rPr>
        <w:t xml:space="preserve"> αποτελεί μελέτη περίπτωσης επιστροφής επειδή δείχνει πώς μια υπόθεση αποκατάστασης μπορεί να μετατραπεί σε πλήρως </w:t>
      </w:r>
      <w:proofErr w:type="spellStart"/>
      <w:r w:rsidRPr="000F3293">
        <w:rPr>
          <w:rFonts w:cs="Times New Roman"/>
        </w:rPr>
        <w:t>διαχειρίσιμη</w:t>
      </w:r>
      <w:proofErr w:type="spellEnd"/>
      <w:r w:rsidRPr="000F3293">
        <w:rPr>
          <w:rFonts w:cs="Times New Roman"/>
        </w:rPr>
        <w:t xml:space="preserve"> θεσμική διαδικασία. Υπάρχει διαβούλευση, γραπτή πολιτική, αίτημα, έρευνα προέλευσης, απόφαση </w:t>
      </w:r>
      <w:proofErr w:type="spellStart"/>
      <w:r w:rsidRPr="000F3293">
        <w:rPr>
          <w:rFonts w:cs="Times New Roman"/>
        </w:rPr>
        <w:t>Trustees</w:t>
      </w:r>
      <w:proofErr w:type="spellEnd"/>
      <w:r w:rsidRPr="000F3293">
        <w:rPr>
          <w:rFonts w:cs="Times New Roman"/>
        </w:rPr>
        <w:t xml:space="preserve">, έγκριση ρυθμιστή, μεταβίβαση κυριότητας, φυσική επιστροφή μέρους των αντικειμένων, δανεισμός υπολοίπων και επανασχεδιασμός της έκθεσης. Σε αυτό το μοντέλο, ο </w:t>
      </w:r>
      <w:proofErr w:type="spellStart"/>
      <w:r w:rsidRPr="000F3293">
        <w:rPr>
          <w:rFonts w:cs="Times New Roman"/>
        </w:rPr>
        <w:t>Nick</w:t>
      </w:r>
      <w:proofErr w:type="spellEnd"/>
      <w:r w:rsidRPr="000F3293">
        <w:rPr>
          <w:rFonts w:cs="Times New Roman"/>
        </w:rPr>
        <w:t xml:space="preserve"> </w:t>
      </w:r>
      <w:proofErr w:type="spellStart"/>
      <w:r w:rsidRPr="000F3293">
        <w:rPr>
          <w:rFonts w:cs="Times New Roman"/>
        </w:rPr>
        <w:t>Merriman</w:t>
      </w:r>
      <w:proofErr w:type="spellEnd"/>
      <w:r w:rsidRPr="000F3293">
        <w:rPr>
          <w:rFonts w:cs="Times New Roman"/>
        </w:rPr>
        <w:t xml:space="preserve"> είχε καθοριστικό ρόλο, όχι μόνο ως διαχειριστής, αλλά ως αρχαιολόγος και δημόσιος διανοούμενος που συνέδεσε την ιστορική αυτοκριτική με εφαρμόσιμα μουσειακά εργαλεία. Γι' αυτό το </w:t>
      </w:r>
      <w:proofErr w:type="spellStart"/>
      <w:r w:rsidRPr="000F3293">
        <w:rPr>
          <w:rFonts w:cs="Times New Roman"/>
        </w:rPr>
        <w:t>Horniman</w:t>
      </w:r>
      <w:proofErr w:type="spellEnd"/>
      <w:r w:rsidRPr="000F3293">
        <w:rPr>
          <w:rFonts w:cs="Times New Roman"/>
        </w:rPr>
        <w:t xml:space="preserve"> δεν είναι απλώς μια «καλή πρακτική». Είναι ένα παράδειγμα ότι η αποκατάσταση μπορεί να γίνει κεντρικό μέρος της μουσειακής διακυβέρνησης και όχι περιθωριακή παραχώρηση.</w:t>
      </w:r>
    </w:p>
    <w:p w14:paraId="641B08BE" w14:textId="77777777" w:rsidR="00221736" w:rsidRPr="000F3293" w:rsidRDefault="00000000" w:rsidP="008E48E5">
      <w:pPr>
        <w:spacing w:line="360" w:lineRule="auto"/>
        <w:ind w:firstLine="720"/>
        <w:jc w:val="both"/>
      </w:pPr>
      <w:r w:rsidRPr="000F3293">
        <w:lastRenderedPageBreak/>
        <w:t xml:space="preserve">Η αντιπαραβολή με το Βρετανικό Μουσείο είναι εδώ ιδιαίτερα διαφωτιστική. Παρότι αμφότερα τα ιδρύματα κατέχουν Μπρούντζινα του Μπενίν με κοινή προέλευση, την επιδρομή του 1897, ακολουθούν αντίθετες θεσμικές γραμμές. Το </w:t>
      </w:r>
      <w:proofErr w:type="spellStart"/>
      <w:r w:rsidRPr="000F3293">
        <w:t>Horniman</w:t>
      </w:r>
      <w:proofErr w:type="spellEnd"/>
      <w:r w:rsidRPr="000F3293">
        <w:t xml:space="preserve"> αναγνώρισε ρητά τη βίαιη προέλευση, υιοθέτησε πολιτική αποκατάστασης, εξασφάλισε την έγκριση της </w:t>
      </w:r>
      <w:proofErr w:type="spellStart"/>
      <w:r w:rsidRPr="000F3293">
        <w:t>Charity</w:t>
      </w:r>
      <w:proofErr w:type="spellEnd"/>
      <w:r w:rsidRPr="000F3293">
        <w:t xml:space="preserve"> Commission και προχώρησε σε μεταβίβαση κυριότητας. Το Βρετανικό Μουσείο, αντίθετα, επικαλούμενο τον Νόμο του 1963 και το αφήγημα του οικουμενικού μουσείου, διατηρεί τα αντικείμενα, παρουσιάζοντας τη μη επιστροφή ως νομική και θεσμική αναγκαιότητα. Η σύγκριση δείχνει ότι το κρίσιμο στοιχείο δεν είναι η ίδια η προέλευση των αντικειμένων, που είναι παρόμοια, αλλά η θεσμική βούληση και η ύπαρξη εφαρμόσιμου διαδικαστικού πλαισίου επιστροφής (</w:t>
      </w:r>
      <w:proofErr w:type="spellStart"/>
      <w:r w:rsidRPr="000F3293">
        <w:t>Hicks</w:t>
      </w:r>
      <w:proofErr w:type="spellEnd"/>
      <w:r w:rsidRPr="000F3293">
        <w:t xml:space="preserve">, 2020, </w:t>
      </w:r>
      <w:proofErr w:type="spellStart"/>
      <w:r w:rsidRPr="000F3293">
        <w:t>Merriman</w:t>
      </w:r>
      <w:proofErr w:type="spellEnd"/>
      <w:r w:rsidRPr="000F3293">
        <w:t>, 2024).</w:t>
      </w:r>
    </w:p>
    <w:p w14:paraId="2BDF852F" w14:textId="77777777" w:rsidR="000B0296" w:rsidRPr="000F3293" w:rsidRDefault="000B0296">
      <w:pPr>
        <w:rPr>
          <w:rFonts w:cs="Times New Roman"/>
        </w:rPr>
      </w:pPr>
    </w:p>
    <w:p w14:paraId="1493CA7B" w14:textId="5AC6668E" w:rsidR="000B0296" w:rsidRPr="000F3293" w:rsidRDefault="00CF49B3" w:rsidP="0043019D">
      <w:pPr>
        <w:pStyle w:val="2"/>
        <w:spacing w:after="120" w:line="360" w:lineRule="auto"/>
        <w:jc w:val="both"/>
        <w:rPr>
          <w:rFonts w:ascii="Times New Roman" w:hAnsi="Times New Roman" w:cs="Times New Roman"/>
          <w:b/>
          <w:bCs/>
          <w:color w:val="auto"/>
          <w:sz w:val="28"/>
          <w:szCs w:val="28"/>
        </w:rPr>
      </w:pPr>
      <w:bookmarkStart w:id="35" w:name="_Toc233154587"/>
      <w:r w:rsidRPr="000F3293">
        <w:rPr>
          <w:rFonts w:ascii="Times New Roman" w:hAnsi="Times New Roman" w:cs="Times New Roman"/>
          <w:b/>
          <w:bCs/>
          <w:color w:val="auto"/>
          <w:sz w:val="28"/>
          <w:szCs w:val="28"/>
        </w:rPr>
        <w:t>3.</w:t>
      </w:r>
      <w:r w:rsidR="008E48E5" w:rsidRPr="000F3293">
        <w:rPr>
          <w:rFonts w:ascii="Times New Roman" w:hAnsi="Times New Roman" w:cs="Times New Roman"/>
          <w:b/>
          <w:bCs/>
          <w:color w:val="auto"/>
          <w:sz w:val="28"/>
          <w:szCs w:val="28"/>
        </w:rPr>
        <w:t>4</w:t>
      </w:r>
      <w:r w:rsidRPr="000F3293">
        <w:rPr>
          <w:rFonts w:ascii="Times New Roman" w:hAnsi="Times New Roman" w:cs="Times New Roman"/>
          <w:b/>
          <w:bCs/>
          <w:color w:val="auto"/>
          <w:sz w:val="28"/>
          <w:szCs w:val="28"/>
        </w:rPr>
        <w:t xml:space="preserve"> Συγκριτική αποτίμηση των τριών μουσείων</w:t>
      </w:r>
      <w:bookmarkEnd w:id="35"/>
    </w:p>
    <w:p w14:paraId="0FD61C58" w14:textId="4C0FA431" w:rsidR="000B0296" w:rsidRPr="000F3293" w:rsidRDefault="00CF49B3" w:rsidP="003A5DF8">
      <w:pPr>
        <w:spacing w:after="120" w:line="360" w:lineRule="auto"/>
        <w:jc w:val="both"/>
        <w:rPr>
          <w:rFonts w:cs="Times New Roman"/>
        </w:rPr>
      </w:pPr>
      <w:r w:rsidRPr="000F3293">
        <w:rPr>
          <w:rFonts w:cs="Times New Roman"/>
        </w:rPr>
        <w:t xml:space="preserve">Η συγκριτική ανάγνωση των τριών μουσείων δείχνει ότι οι υποθέσεις επαναπατρισμού ή επιστροφής δεν κρίνονται αποκλειστικά από τη βαρύτητα του ηθικού επιχειρήματος ούτε αποκλειστικά από το γράμμα του νόμου. Κρίνονται, σε μεγάλο βαθμό, από το είδος του μουσείου που εμπλέκεται, από τη διοικητική του αρχιτεκτονική, από το πώς κατανοεί το δημόσιο συμφέρον και από το αν διαθέτει θεσμικά εργαλεία για να μεταφράσει την ηθική πίεση σε πράξη. Το Μουσείο Ακρόπολης, το Βρετανικό Μουσείο και το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δεν αντιπροσωπεύουν απλώς τρεις θέσεις σε μια διαφωνία. Αντιπροσωπεύουν τρία διαφορετικά μοντέλα μουσειακής διακυβέρνησης του ζητήματος της επιστροφής.</w:t>
      </w:r>
    </w:p>
    <w:p w14:paraId="240A160A" w14:textId="354BCA1C" w:rsidR="000B0296" w:rsidRPr="000F3293" w:rsidRDefault="00CF49B3" w:rsidP="003A5DF8">
      <w:pPr>
        <w:spacing w:after="120" w:line="360" w:lineRule="auto"/>
        <w:ind w:firstLine="720"/>
        <w:jc w:val="both"/>
        <w:rPr>
          <w:rFonts w:cs="Times New Roman"/>
        </w:rPr>
      </w:pPr>
      <w:r w:rsidRPr="000F3293">
        <w:rPr>
          <w:rFonts w:cs="Times New Roman"/>
        </w:rPr>
        <w:t xml:space="preserve">Το πρώτο μοντέλο είναι το μοντέλο του μουσείου επανένωσης. Το Μουσείο Ακρόπολης οργανώνει τη συλλογή, τον χώρο και το δημόσιο αφήγημά του γύρω από την ακεραιότητα του μνημείου. Η διοίκηση του είναι ειδικά συνδεδεμένη με την προστασία και προβολή της Ακρόπολης, ενώ η αρχιτεκτονική του χρησιμοποιείται ως επιχείρημα για το γιατί τα γλυπτά δεν είναι απλά μουσειακά αντικείμενα αλλά αποσπασμένα μέλη ενός ενιαίου σώματος. Το δεύτερο μοντέλο είναι το μοντέλο του μουσείου κατοχής και διατήρησης. Το Βρετανικό Μουσείο στηρίζει τη θέση του σε κηδεμονία, κοινοβουλευτική νομιμοποίηση, ισχύοντα νόμο και διεθνιστικό αφήγημα δημόσιου οφέλους. Το τρίτο μοντέλο είναι το μοντέλο του μουσείου μετασχηματιστικής αποκατάστασης. Το </w:t>
      </w:r>
      <w:proofErr w:type="spellStart"/>
      <w:r w:rsidRPr="000F3293">
        <w:rPr>
          <w:rFonts w:cs="Times New Roman"/>
        </w:rPr>
        <w:t>Horniman</w:t>
      </w:r>
      <w:proofErr w:type="spellEnd"/>
      <w:r w:rsidRPr="000F3293">
        <w:rPr>
          <w:rFonts w:cs="Times New Roman"/>
        </w:rPr>
        <w:t xml:space="preserve"> δείχνει ότι ένα ίδρυμα μπορεί να διατηρήσει μουσειακή αποστολή, </w:t>
      </w:r>
      <w:r w:rsidRPr="000F3293">
        <w:rPr>
          <w:rFonts w:cs="Times New Roman"/>
        </w:rPr>
        <w:lastRenderedPageBreak/>
        <w:t>δημόσια πρόσβαση και διεθνή ρόλο, ακόμη και όταν αναγνωρίζει ότι κάποια αντικείμενα δεν του ανήκουν ηθικά και προχωρεί σε μεταβίβαση κυριότητας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.-a, </w:t>
      </w:r>
      <w:proofErr w:type="spellStart"/>
      <w:r w:rsidRPr="000F3293">
        <w:rPr>
          <w:rFonts w:cs="Times New Roman"/>
        </w:rPr>
        <w:t>n.d</w:t>
      </w:r>
      <w:proofErr w:type="spellEnd"/>
      <w:r w:rsidRPr="000F3293">
        <w:rPr>
          <w:rFonts w:cs="Times New Roman"/>
        </w:rPr>
        <w:t xml:space="preserve">.-c, British </w:t>
      </w:r>
      <w:proofErr w:type="spellStart"/>
      <w:r w:rsidRPr="000F3293">
        <w:rPr>
          <w:rFonts w:cs="Times New Roman"/>
        </w:rPr>
        <w:t>Museum</w:t>
      </w:r>
      <w:proofErr w:type="spellEnd"/>
      <w:r w:rsidRPr="000F3293">
        <w:rPr>
          <w:rFonts w:cs="Times New Roman"/>
        </w:rPr>
        <w:t xml:space="preserve">, 2025a, </w:t>
      </w:r>
      <w:proofErr w:type="spellStart"/>
      <w:r w:rsidRPr="000F3293">
        <w:rPr>
          <w:rFonts w:cs="Times New Roman"/>
        </w:rPr>
        <w:t>n.d</w:t>
      </w:r>
      <w:proofErr w:type="spellEnd"/>
      <w:r w:rsidRPr="000F3293">
        <w:rPr>
          <w:rFonts w:cs="Times New Roman"/>
        </w:rPr>
        <w:t xml:space="preserve">.-b, </w:t>
      </w:r>
      <w:proofErr w:type="spellStart"/>
      <w:r w:rsidRPr="000F3293">
        <w:rPr>
          <w:rFonts w:cs="Times New Roman"/>
        </w:rPr>
        <w:t>n.d</w:t>
      </w:r>
      <w:proofErr w:type="spellEnd"/>
      <w:r w:rsidRPr="000F3293">
        <w:rPr>
          <w:rFonts w:cs="Times New Roman"/>
        </w:rPr>
        <w:t xml:space="preserve">.-c,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2022a, </w:t>
      </w:r>
      <w:proofErr w:type="spellStart"/>
      <w:r w:rsidRPr="000F3293">
        <w:rPr>
          <w:rFonts w:cs="Times New Roman"/>
        </w:rPr>
        <w:t>n.d</w:t>
      </w:r>
      <w:proofErr w:type="spellEnd"/>
      <w:r w:rsidRPr="000F3293">
        <w:rPr>
          <w:rFonts w:cs="Times New Roman"/>
        </w:rPr>
        <w:t>.-c).</w:t>
      </w:r>
    </w:p>
    <w:p w14:paraId="1BA22AAC" w14:textId="2F5CF54A" w:rsidR="000B0296" w:rsidRPr="000F3293" w:rsidRDefault="00CF49B3" w:rsidP="003A5DF8">
      <w:pPr>
        <w:spacing w:after="120" w:line="360" w:lineRule="auto"/>
        <w:ind w:firstLine="720"/>
        <w:jc w:val="both"/>
        <w:rPr>
          <w:rFonts w:cs="Times New Roman"/>
        </w:rPr>
      </w:pPr>
      <w:r w:rsidRPr="000F3293">
        <w:rPr>
          <w:rFonts w:cs="Times New Roman"/>
        </w:rPr>
        <w:t xml:space="preserve">Σε επίπεδο διοίκησης, οι διαφορές είναι καθοριστικές. Το Μουσείο Ακρόπολης είναι δημόσιος θεσμός ειδικού σκοπού. Το πεδίο του είναι στενά οριοθετημένο και ο σκοπός του συνδέεται ρητά με τα μνημεία της Ακρόπολης. Το Βρετανικό Μουσείο είναι εθνικός θεσμός ευρείας πολιτισμικής εμβέλειας με Board of </w:t>
      </w:r>
      <w:proofErr w:type="spellStart"/>
      <w:r w:rsidRPr="000F3293">
        <w:rPr>
          <w:rFonts w:cs="Times New Roman"/>
        </w:rPr>
        <w:t>Trustees</w:t>
      </w:r>
      <w:proofErr w:type="spellEnd"/>
      <w:r w:rsidRPr="000F3293">
        <w:rPr>
          <w:rFonts w:cs="Times New Roman"/>
        </w:rPr>
        <w:t xml:space="preserve"> και με αποστολή που </w:t>
      </w:r>
      <w:proofErr w:type="spellStart"/>
      <w:r w:rsidRPr="000F3293">
        <w:rPr>
          <w:rFonts w:cs="Times New Roman"/>
        </w:rPr>
        <w:t>αυτοπροσδιορίζεται</w:t>
      </w:r>
      <w:proofErr w:type="spellEnd"/>
      <w:r w:rsidRPr="000F3293">
        <w:rPr>
          <w:rFonts w:cs="Times New Roman"/>
        </w:rPr>
        <w:t xml:space="preserve"> ως εκπροσώπηση των παγκόσμιων πολιτισμών υπό μία στέγη. Το </w:t>
      </w:r>
      <w:proofErr w:type="spellStart"/>
      <w:r w:rsidRPr="000F3293">
        <w:rPr>
          <w:rFonts w:cs="Times New Roman"/>
        </w:rPr>
        <w:t>Horniman</w:t>
      </w:r>
      <w:proofErr w:type="spellEnd"/>
      <w:r w:rsidRPr="000F3293">
        <w:rPr>
          <w:rFonts w:cs="Times New Roman"/>
        </w:rPr>
        <w:t xml:space="preserve">, αν και επίσης δημόσια υποστηριζόμενο, διαθέτει διοικητική ευελιξία φιλανθρωπικού καταπιστεύματος, η οποία του επιτρέπει να αναπτύσσει επιμέρους πολιτικές αποκατάστασης και να αναζητεί έγκριση από την Ρυθμιστική αρχή φιλανθρωπίας για συγκεκριμένες αποφάσεις (British </w:t>
      </w:r>
      <w:proofErr w:type="spellStart"/>
      <w:r w:rsidRPr="000F3293">
        <w:rPr>
          <w:rFonts w:cs="Times New Roman"/>
        </w:rPr>
        <w:t>Museum</w:t>
      </w:r>
      <w:proofErr w:type="spellEnd"/>
      <w:r w:rsidRPr="000F3293">
        <w:rPr>
          <w:rFonts w:cs="Times New Roman"/>
        </w:rPr>
        <w:t>, n.d.-</w:t>
      </w:r>
      <w:proofErr w:type="spellStart"/>
      <w:r w:rsidRPr="000F3293">
        <w:rPr>
          <w:rFonts w:cs="Times New Roman"/>
        </w:rPr>
        <w:t>aΤο</w:t>
      </w:r>
      <w:proofErr w:type="spellEnd"/>
      <w:r w:rsidRPr="000F3293">
        <w:rPr>
          <w:rFonts w:cs="Times New Roman"/>
        </w:rPr>
        <w:t xml:space="preserve"> πρώτο μοντέλο είναι το μοντέλο του μουσείου επανένωσης. Το Μουσείο Ακρόπολης οργανώνει τη συλλογή, τον χώρο και το δημόσιο αφήγημά του γύρω από την ακεραιότητα του μνημείου. Η διοίκηση του είναι ειδικά συνδεδεμένη με την προστασία και προβολή της Ακρόπολης, ενώ η αρχιτεκτονική του χρησιμοποιείται ως επιχείρημα για το γιατί τα γλυπτά δεν είναι απλά μουσειακά αντικείμενα αλλά αποσπασμένα μέλη ενός ενιαίου σώματος. Το δεύτερο μοντέλο είναι το μοντέλο του μουσείου κατοχής και διατήρησης. Το Βρετανικό Μουσείο στηρίζει τη θέση του σε κηδεμονία, κοινοβουλευτική νομιμοποίηση, ισχύοντα νόμο και διεθνιστικό αφήγημα δημόσιου οφέλους. Το τρίτο μοντέλο είναι το μοντέλο του μουσείου μετασχηματιστικής αποκατάστασης. Το </w:t>
      </w:r>
      <w:proofErr w:type="spellStart"/>
      <w:r w:rsidRPr="000F3293">
        <w:rPr>
          <w:rFonts w:cs="Times New Roman"/>
        </w:rPr>
        <w:t>Horniman</w:t>
      </w:r>
      <w:proofErr w:type="spellEnd"/>
      <w:r w:rsidRPr="000F3293">
        <w:rPr>
          <w:rFonts w:cs="Times New Roman"/>
        </w:rPr>
        <w:t xml:space="preserve"> δείχνει ότι ένα ίδρυμα μπορεί να διατηρήσει μουσειακή αποστολή, δημόσια πρόσβαση και διεθνή ρόλο, ακόμη και όταν αναγνωρίζει ότι κάποια αντικείμενα δεν του ανήκουν ηθικά και προχωρεί σε μεταβίβαση κυριότητας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.-a, </w:t>
      </w:r>
      <w:proofErr w:type="spellStart"/>
      <w:r w:rsidRPr="000F3293">
        <w:rPr>
          <w:rFonts w:cs="Times New Roman"/>
        </w:rPr>
        <w:t>n.d</w:t>
      </w:r>
      <w:proofErr w:type="spellEnd"/>
      <w:r w:rsidRPr="000F3293">
        <w:rPr>
          <w:rFonts w:cs="Times New Roman"/>
        </w:rPr>
        <w:t xml:space="preserve">.-c, British </w:t>
      </w:r>
      <w:proofErr w:type="spellStart"/>
      <w:r w:rsidRPr="000F3293">
        <w:rPr>
          <w:rFonts w:cs="Times New Roman"/>
        </w:rPr>
        <w:t>Museum</w:t>
      </w:r>
      <w:proofErr w:type="spellEnd"/>
      <w:r w:rsidRPr="000F3293">
        <w:rPr>
          <w:rFonts w:cs="Times New Roman"/>
        </w:rPr>
        <w:t xml:space="preserve">, 2025a, </w:t>
      </w:r>
      <w:proofErr w:type="spellStart"/>
      <w:r w:rsidRPr="000F3293">
        <w:rPr>
          <w:rFonts w:cs="Times New Roman"/>
        </w:rPr>
        <w:t>n.d</w:t>
      </w:r>
      <w:proofErr w:type="spellEnd"/>
      <w:r w:rsidRPr="000F3293">
        <w:rPr>
          <w:rFonts w:cs="Times New Roman"/>
        </w:rPr>
        <w:t xml:space="preserve">.-b, </w:t>
      </w:r>
      <w:proofErr w:type="spellStart"/>
      <w:r w:rsidRPr="000F3293">
        <w:rPr>
          <w:rFonts w:cs="Times New Roman"/>
        </w:rPr>
        <w:t>n.d</w:t>
      </w:r>
      <w:proofErr w:type="spellEnd"/>
      <w:r w:rsidRPr="000F3293">
        <w:rPr>
          <w:rFonts w:cs="Times New Roman"/>
        </w:rPr>
        <w:t xml:space="preserve">.-c,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2022a, </w:t>
      </w:r>
      <w:proofErr w:type="spellStart"/>
      <w:r w:rsidRPr="000F3293">
        <w:rPr>
          <w:rFonts w:cs="Times New Roman"/>
        </w:rPr>
        <w:t>n.d</w:t>
      </w:r>
      <w:proofErr w:type="spellEnd"/>
      <w:r w:rsidRPr="000F3293">
        <w:rPr>
          <w:rFonts w:cs="Times New Roman"/>
        </w:rPr>
        <w:t>.-c).</w:t>
      </w:r>
    </w:p>
    <w:p w14:paraId="7C2B5D7A" w14:textId="77777777" w:rsidR="000B0296" w:rsidRPr="000F3293" w:rsidRDefault="00CF49B3" w:rsidP="003A5DF8">
      <w:pPr>
        <w:spacing w:after="120" w:line="360" w:lineRule="auto"/>
        <w:ind w:firstLine="720"/>
        <w:jc w:val="both"/>
        <w:rPr>
          <w:rFonts w:cs="Times New Roman"/>
        </w:rPr>
      </w:pPr>
      <w:r w:rsidRPr="000F3293">
        <w:rPr>
          <w:rFonts w:cs="Times New Roman"/>
        </w:rPr>
        <w:t xml:space="preserve">,Το πρώτο μοντέλο είναι το μοντέλο του μουσείου επανένωσης. Το Μουσείο Ακρόπολης οργανώνει τη συλλογή, τον χώρο και το δημόσιο αφήγημά του γύρω από την ακεραιότητα του μνημείου. Η διοίκηση του είναι ειδικά συνδεδεμένη με την προστασία και προβολή της Ακρόπολης, ενώ η αρχιτεκτονική του χρησιμοποιείται ως επιχείρημα για το γιατί τα γλυπτά δεν είναι απλά μουσειακά αντικείμενα αλλά αποσπασμένα μέλη ενός ενιαίου σώματος. Το δεύτερο μοντέλο είναι το μοντέλο του μουσείου κατοχής και διατήρησης. Το Βρετανικό Μουσείο στηρίζει τη θέση του σε κηδεμονία, κοινοβουλευτική νομιμοποίηση, ισχύοντα νόμο και διεθνιστικό </w:t>
      </w:r>
      <w:r w:rsidRPr="000F3293">
        <w:rPr>
          <w:rFonts w:cs="Times New Roman"/>
        </w:rPr>
        <w:lastRenderedPageBreak/>
        <w:t xml:space="preserve">αφήγημα δημόσιου οφέλους. Το τρίτο μοντέλο είναι το μοντέλο του μουσείου μετασχηματιστικής αποκατάστασης. Το </w:t>
      </w:r>
      <w:proofErr w:type="spellStart"/>
      <w:r w:rsidRPr="000F3293">
        <w:rPr>
          <w:rFonts w:cs="Times New Roman"/>
        </w:rPr>
        <w:t>Horniman</w:t>
      </w:r>
      <w:proofErr w:type="spellEnd"/>
      <w:r w:rsidRPr="000F3293">
        <w:rPr>
          <w:rFonts w:cs="Times New Roman"/>
        </w:rPr>
        <w:t xml:space="preserve"> δείχνει ότι ένα ίδρυμα μπορεί να διατηρήσει μουσειακή αποστολή, δημόσια πρόσβαση και διεθνή ρόλο, ακόμη και όταν αναγνωρίζει ότι κάποια αντικείμενα δεν του ανήκουν ηθικά και προχωρεί σε μεταβίβαση κυριότητας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.-a, </w:t>
      </w:r>
      <w:proofErr w:type="spellStart"/>
      <w:r w:rsidRPr="000F3293">
        <w:rPr>
          <w:rFonts w:cs="Times New Roman"/>
        </w:rPr>
        <w:t>n.d</w:t>
      </w:r>
      <w:proofErr w:type="spellEnd"/>
      <w:r w:rsidRPr="000F3293">
        <w:rPr>
          <w:rFonts w:cs="Times New Roman"/>
        </w:rPr>
        <w:t xml:space="preserve">.-c, British </w:t>
      </w:r>
      <w:proofErr w:type="spellStart"/>
      <w:r w:rsidRPr="000F3293">
        <w:rPr>
          <w:rFonts w:cs="Times New Roman"/>
        </w:rPr>
        <w:t>Museum</w:t>
      </w:r>
      <w:proofErr w:type="spellEnd"/>
      <w:r w:rsidRPr="000F3293">
        <w:rPr>
          <w:rFonts w:cs="Times New Roman"/>
        </w:rPr>
        <w:t xml:space="preserve">, 2025a, </w:t>
      </w:r>
      <w:proofErr w:type="spellStart"/>
      <w:r w:rsidRPr="000F3293">
        <w:rPr>
          <w:rFonts w:cs="Times New Roman"/>
        </w:rPr>
        <w:t>n.d</w:t>
      </w:r>
      <w:proofErr w:type="spellEnd"/>
      <w:r w:rsidRPr="000F3293">
        <w:rPr>
          <w:rFonts w:cs="Times New Roman"/>
        </w:rPr>
        <w:t xml:space="preserve">.-b, </w:t>
      </w:r>
      <w:proofErr w:type="spellStart"/>
      <w:r w:rsidRPr="000F3293">
        <w:rPr>
          <w:rFonts w:cs="Times New Roman"/>
        </w:rPr>
        <w:t>n.d</w:t>
      </w:r>
      <w:proofErr w:type="spellEnd"/>
      <w:r w:rsidRPr="000F3293">
        <w:rPr>
          <w:rFonts w:cs="Times New Roman"/>
        </w:rPr>
        <w:t xml:space="preserve">.-c,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2022a, </w:t>
      </w:r>
      <w:proofErr w:type="spellStart"/>
      <w:r w:rsidRPr="000F3293">
        <w:rPr>
          <w:rFonts w:cs="Times New Roman"/>
        </w:rPr>
        <w:t>n.d</w:t>
      </w:r>
      <w:proofErr w:type="spellEnd"/>
      <w:r w:rsidRPr="000F3293">
        <w:rPr>
          <w:rFonts w:cs="Times New Roman"/>
        </w:rPr>
        <w:t>.-c).</w:t>
      </w:r>
    </w:p>
    <w:p w14:paraId="26AE0636" w14:textId="77777777" w:rsidR="000B0296" w:rsidRPr="000F3293" w:rsidRDefault="00CF49B3" w:rsidP="003A5DF8">
      <w:pPr>
        <w:spacing w:after="120" w:line="360" w:lineRule="auto"/>
        <w:ind w:firstLine="720"/>
        <w:jc w:val="both"/>
        <w:rPr>
          <w:rFonts w:cs="Times New Roman"/>
        </w:rPr>
      </w:pPr>
      <w:r w:rsidRPr="000F3293">
        <w:rPr>
          <w:rFonts w:cs="Times New Roman"/>
        </w:rPr>
        <w:t xml:space="preserve"> </w:t>
      </w:r>
      <w:r w:rsidRPr="000F3293">
        <w:rPr>
          <w:rFonts w:cs="Times New Roman"/>
          <w:lang w:val="en-US"/>
        </w:rPr>
        <w:t xml:space="preserve">Horniman Museum and Gardens, n.d.-b, n.d.-c). </w:t>
      </w:r>
      <w:r w:rsidRPr="000F3293">
        <w:rPr>
          <w:rFonts w:cs="Times New Roman"/>
        </w:rPr>
        <w:t xml:space="preserve">Αυτή η τυπολογία έχει άμεσες συνέπειες. Όσο πιο στενά συνδεδεμένο είναι το μουσείο με ένα συγκεκριμένο αρχαιολογικό σύνολο, τόσο ισχυρότερο γίνεται το επιχείρημα του </w:t>
      </w:r>
      <w:proofErr w:type="spellStart"/>
      <w:r w:rsidRPr="000F3293">
        <w:rPr>
          <w:rFonts w:cs="Times New Roman"/>
        </w:rPr>
        <w:t>συμφραζομένου</w:t>
      </w:r>
      <w:proofErr w:type="spellEnd"/>
      <w:r w:rsidRPr="000F3293">
        <w:rPr>
          <w:rFonts w:cs="Times New Roman"/>
        </w:rPr>
        <w:t>. Όσο πιο κεντρικό είναι το μουσείο στο εθνικό σύστημα πολιτισμού και όσο περισσότερο επενδύει σε μια οικουμενική αφήγηση, τόσο ισχυρότερη γίνεται η άρνηση διάσπασης της συλλογής. Και όσο περισσότερο το μουσείο αναπτύσσει μηχανισμούς διαβούλευσης και πολιτικές κατά περίπτωση, τόσο πιο εφαρμόσιμη γίνεται η επιστροφή.</w:t>
      </w:r>
    </w:p>
    <w:p w14:paraId="72A6F94F" w14:textId="1C3AE62F" w:rsidR="000B0296" w:rsidRPr="000F3293" w:rsidRDefault="00CF49B3" w:rsidP="003A5DF8">
      <w:pPr>
        <w:spacing w:after="120" w:line="360" w:lineRule="auto"/>
        <w:ind w:firstLine="720"/>
        <w:jc w:val="both"/>
        <w:rPr>
          <w:rFonts w:cs="Times New Roman"/>
        </w:rPr>
      </w:pPr>
      <w:r w:rsidRPr="000F3293">
        <w:rPr>
          <w:rFonts w:cs="Times New Roman"/>
        </w:rPr>
        <w:t xml:space="preserve">Αντίστοιχα, διαφέρει και η γλώσσα του νόμου. Στην περίπτωση της Ακρόπολης, ο νόμος επιβεβαιώνει και οργανώνει την αποστολή της συγκέντρωσης, προστασίας και παρουσίασης των αποσπασμένων μελών της Ακρόπολης. Ο νόμος, δηλαδή, λειτουργεί ως γλώσσα υποδοχής. Στην περίπτωση του Βρετανικού Μουσείου, ο νόμος λειτουργεί ως γλώσσα φραγμού ή, ακριβέστερα, ως γλώσσα ακινησίας. Η ύπαρξη του British </w:t>
      </w:r>
      <w:proofErr w:type="spellStart"/>
      <w:r w:rsidRPr="000F3293">
        <w:rPr>
          <w:rFonts w:cs="Times New Roman"/>
        </w:rPr>
        <w:t>Museum</w:t>
      </w:r>
      <w:proofErr w:type="spellEnd"/>
      <w:r w:rsidRPr="000F3293">
        <w:rPr>
          <w:rFonts w:cs="Times New Roman"/>
        </w:rPr>
        <w:t xml:space="preserve"> Act 1963 και η άρνηση του Κοινοβουλίου να ανοίξει νομοθετικό παράθυρο για επιστροφές επιτρέπει στους </w:t>
      </w:r>
      <w:proofErr w:type="spellStart"/>
      <w:r w:rsidRPr="000F3293">
        <w:rPr>
          <w:rFonts w:cs="Times New Roman"/>
        </w:rPr>
        <w:t>Trustees</w:t>
      </w:r>
      <w:proofErr w:type="spellEnd"/>
      <w:r w:rsidRPr="000F3293">
        <w:rPr>
          <w:rFonts w:cs="Times New Roman"/>
        </w:rPr>
        <w:t xml:space="preserve"> να παρουσιάζουν την παραμονή των Γλυπτών ως θεσμικά κανονική κατάσταση (UK </w:t>
      </w:r>
      <w:proofErr w:type="spellStart"/>
      <w:r w:rsidRPr="000F3293">
        <w:rPr>
          <w:rFonts w:cs="Times New Roman"/>
        </w:rPr>
        <w:t>Parliament</w:t>
      </w:r>
      <w:proofErr w:type="spellEnd"/>
      <w:r w:rsidRPr="000F3293">
        <w:rPr>
          <w:rFonts w:cs="Times New Roman"/>
        </w:rPr>
        <w:t xml:space="preserve">, 2025b). Στην περίπτωση του </w:t>
      </w:r>
      <w:proofErr w:type="spellStart"/>
      <w:r w:rsidRPr="000F3293">
        <w:rPr>
          <w:rFonts w:cs="Times New Roman"/>
        </w:rPr>
        <w:t>Horniman</w:t>
      </w:r>
      <w:proofErr w:type="spellEnd"/>
      <w:r w:rsidRPr="000F3293">
        <w:rPr>
          <w:rFonts w:cs="Times New Roman"/>
        </w:rPr>
        <w:t xml:space="preserve">, ο νόμος λειτουργεί ως γλώσσα ελεγχόμενης δυνατότητας. Δεν αίρει αυτομάτως την ευθύνη των </w:t>
      </w:r>
      <w:proofErr w:type="spellStart"/>
      <w:r w:rsidRPr="000F3293">
        <w:rPr>
          <w:rFonts w:cs="Times New Roman"/>
        </w:rPr>
        <w:t>Trustees</w:t>
      </w:r>
      <w:proofErr w:type="spellEnd"/>
      <w:r w:rsidRPr="000F3293">
        <w:rPr>
          <w:rFonts w:cs="Times New Roman"/>
        </w:rPr>
        <w:t>, αλλά ούτε και αποκλείει την επιστροφή. Με κατάλληλη πολιτική, επαρκή τεκμηρίωση και ρυθμιστική έγκριση, η επιστροφή μετατρέπεται σε επιτρεπτή πράξη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2022a, 2024b). Επομένως, το κρίσιμο ερώτημα δεν είναι αν «ο νόμος επιτρέπει» ή «ο νόμος απαγορεύει» γενικά, αλλά πώς κάθε ίδρυμα ερμηνεύει, κινητοποιεί ή πολιτικά επενδύει στο εκάστοτε νομικό πλαίσιο.</w:t>
      </w:r>
    </w:p>
    <w:p w14:paraId="3108E76A" w14:textId="60F03518" w:rsidR="00221736" w:rsidRPr="000F3293" w:rsidRDefault="00CF49B3" w:rsidP="008E48E5">
      <w:pPr>
        <w:spacing w:after="120" w:line="360" w:lineRule="auto"/>
        <w:ind w:firstLine="720"/>
        <w:jc w:val="both"/>
        <w:rPr>
          <w:rFonts w:cs="Times New Roman"/>
        </w:rPr>
      </w:pPr>
      <w:r w:rsidRPr="000F3293">
        <w:rPr>
          <w:rFonts w:cs="Times New Roman"/>
        </w:rPr>
        <w:t xml:space="preserve">Σημαντικές είναι και οι διαφορές ως προς τα επιχειρήματα. Το Μουσείο Ακρόπολης στηρίζει την επιχειρηματολογία του στην ακεραιότητα, στο μνημειακό </w:t>
      </w:r>
      <w:proofErr w:type="spellStart"/>
      <w:r w:rsidRPr="000F3293">
        <w:rPr>
          <w:rFonts w:cs="Times New Roman"/>
        </w:rPr>
        <w:t>συμφραζόμενο</w:t>
      </w:r>
      <w:proofErr w:type="spellEnd"/>
      <w:r w:rsidRPr="000F3293">
        <w:rPr>
          <w:rFonts w:cs="Times New Roman"/>
        </w:rPr>
        <w:t xml:space="preserve">, στην επανένωση και στην άρνηση γλώσσας δανεισμού που θα νομιμοποιούσε έμμεσα ξένη κυριότητα. Το Βρετανικό Μουσείο, αντίθετα, στηρίζει τη θέση του στη νόμιμη κτήση, στο κοινωφελές της </w:t>
      </w:r>
      <w:r w:rsidRPr="000F3293">
        <w:rPr>
          <w:rFonts w:cs="Times New Roman"/>
        </w:rPr>
        <w:lastRenderedPageBreak/>
        <w:t xml:space="preserve">διαίρεσης ανάμεσα σε δύο μεγάλα μουσεία, στη Παγκόσμια Συλλογή και στην ιδέα ότι η αρχαία Ελλάδα φωτίζεται καλύτερα όταν συγκρίνεται άμεσα με άλλους πολιτισμούς στο Λονδίνο. Το </w:t>
      </w:r>
      <w:proofErr w:type="spellStart"/>
      <w:r w:rsidRPr="000F3293">
        <w:rPr>
          <w:rFonts w:cs="Times New Roman"/>
        </w:rPr>
        <w:t>Horniman</w:t>
      </w:r>
      <w:proofErr w:type="spellEnd"/>
      <w:r w:rsidRPr="000F3293">
        <w:rPr>
          <w:rFonts w:cs="Times New Roman"/>
        </w:rPr>
        <w:t xml:space="preserve"> στηρίζεται στην καθαρότητα της προέλευσης, στη βίαιη αποικιακή προέλευση των αντικειμένων, στην ηθική υποχρέωση, στη διαβούλευση με κοινότητες και στην αποδοχή ότι μια δίκαιη λύση μπορεί να συμπεριλάβει και μεταγενέστερους δανεισμούς μετά την επιστροφή (British </w:t>
      </w:r>
      <w:proofErr w:type="spellStart"/>
      <w:r w:rsidRPr="000F3293">
        <w:rPr>
          <w:rFonts w:cs="Times New Roman"/>
        </w:rPr>
        <w:t>Museum</w:t>
      </w:r>
      <w:proofErr w:type="spellEnd"/>
      <w:r w:rsidRPr="000F3293">
        <w:rPr>
          <w:rFonts w:cs="Times New Roman"/>
        </w:rPr>
        <w:t xml:space="preserve">, </w:t>
      </w:r>
      <w:proofErr w:type="spellStart"/>
      <w:r w:rsidRPr="000F3293">
        <w:rPr>
          <w:rFonts w:cs="Times New Roman"/>
        </w:rPr>
        <w:t>n.d</w:t>
      </w:r>
      <w:proofErr w:type="spellEnd"/>
      <w:r w:rsidRPr="000F3293">
        <w:rPr>
          <w:rFonts w:cs="Times New Roman"/>
        </w:rPr>
        <w:t xml:space="preserve">.-c,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xml:space="preserve">, 2022a, </w:t>
      </w:r>
      <w:proofErr w:type="spellStart"/>
      <w:r w:rsidRPr="000F3293">
        <w:rPr>
          <w:rFonts w:cs="Times New Roman"/>
        </w:rPr>
        <w:t>Merriman</w:t>
      </w:r>
      <w:proofErr w:type="spellEnd"/>
      <w:r w:rsidRPr="000F3293">
        <w:rPr>
          <w:rFonts w:cs="Times New Roman"/>
        </w:rPr>
        <w:t xml:space="preserve">, 2024). Με άλλα λόγια, το Μουσείο Ακρόπολης μιλά τη γλώσσα της αποκατάστασης του τόπου, το Βρετανικό Μουσείο τη γλώσσα της διατήρησης της παγκόσμιας σκηνής και το </w:t>
      </w:r>
      <w:proofErr w:type="spellStart"/>
      <w:r w:rsidRPr="000F3293">
        <w:rPr>
          <w:rFonts w:cs="Times New Roman"/>
        </w:rPr>
        <w:t>Horniman</w:t>
      </w:r>
      <w:proofErr w:type="spellEnd"/>
      <w:r w:rsidRPr="000F3293">
        <w:rPr>
          <w:rFonts w:cs="Times New Roman"/>
        </w:rPr>
        <w:t xml:space="preserve"> τη γλώσσα της θεσμικής επανόρθωσης.</w:t>
      </w:r>
      <w:r w:rsidR="008E48E5" w:rsidRPr="000F3293">
        <w:rPr>
          <w:rFonts w:cs="Times New Roman"/>
        </w:rPr>
        <w:t xml:space="preserve"> </w:t>
      </w:r>
      <w:r w:rsidRPr="000F3293">
        <w:t xml:space="preserve">Σημειώνεται ότι η ίδια θεσμική λογική του Βρετανικού Μουσείου εκτείνεται και στα Μπρούντζινα του Μπενίν που κατέχει, για τα οποία επίσης αρνείται τη μεταβίβαση κυριότητας, ακολουθώντας το ίδιο σκεπτικό νομικών περιορισμών και οικουμενικού οφέλους που εφαρμόζει και στα Γλυπτά του Παρθενώνα. Η στάση αυτή έρχεται σε ευθεία αντίθεση με τη γραμμή που υιοθέτησε το </w:t>
      </w:r>
      <w:proofErr w:type="spellStart"/>
      <w:r w:rsidRPr="000F3293">
        <w:t>Horniman</w:t>
      </w:r>
      <w:proofErr w:type="spellEnd"/>
      <w:r w:rsidRPr="000F3293">
        <w:t xml:space="preserve"> για τα δικά του αντικείμενα από το Μπενίν.</w:t>
      </w:r>
    </w:p>
    <w:p w14:paraId="21FA8934" w14:textId="55A2ABA0" w:rsidR="000B0296" w:rsidRPr="000F3293" w:rsidRDefault="00CF49B3" w:rsidP="003A5DF8">
      <w:pPr>
        <w:spacing w:after="120" w:line="360" w:lineRule="auto"/>
        <w:ind w:firstLine="720"/>
        <w:jc w:val="both"/>
        <w:rPr>
          <w:rFonts w:cs="Times New Roman"/>
        </w:rPr>
      </w:pPr>
      <w:r w:rsidRPr="000F3293">
        <w:rPr>
          <w:rFonts w:cs="Times New Roman"/>
        </w:rPr>
        <w:t xml:space="preserve">Εξίσου αποκαλυπτικά είναι τα συμφέροντα που διακυβεύονται. Στην Ακρόπολη, η επιστροφή των γλυπτών θα ενίσχυε την ακεραιότητα του μνημείου, το διεθνές κύρος της ελληνικής πολιτιστικής πολιτικής και τη συμβολική κεντρικότητα της Αθήνας. Στο Βρετανικό Μουσείο, η διατήρησή τους ενισχύει το κύρος του ιδρύματος ως Παγκόσμιο Μουσείο, συντηρεί ένα εμβληματικό έκθεμα και αποτρέπει ένα προηγούμενο που θα μπορούσε να ενεργοποιήσει περαιτέρω αξιώσεις. Στο </w:t>
      </w:r>
      <w:proofErr w:type="spellStart"/>
      <w:r w:rsidRPr="000F3293">
        <w:rPr>
          <w:rFonts w:cs="Times New Roman"/>
        </w:rPr>
        <w:t>Horniman</w:t>
      </w:r>
      <w:proofErr w:type="spellEnd"/>
      <w:r w:rsidRPr="000F3293">
        <w:rPr>
          <w:rFonts w:cs="Times New Roman"/>
        </w:rPr>
        <w:t>, η επιστροφή λειτούργησε ως μηχανισμός αναβάθμισης του ηθικού και πολιτισμικού κύρους του ιδρύματος, χωρίς να το υποχρεώσει να απεμπολήσει τη δυνατότητα δημόσιας έκθεσης, αφού αυτή συνεχίστηκε μέσα από δάνειο από τον νέο νόμιμο κάτοχο (</w:t>
      </w:r>
      <w:proofErr w:type="spellStart"/>
      <w:r w:rsidRPr="000F3293">
        <w:rPr>
          <w:rFonts w:cs="Times New Roman"/>
        </w:rPr>
        <w:t>Kersel</w:t>
      </w:r>
      <w:proofErr w:type="spellEnd"/>
      <w:r w:rsidRPr="000F3293">
        <w:rPr>
          <w:rFonts w:cs="Times New Roman"/>
        </w:rPr>
        <w:t xml:space="preserve">, 2004, </w:t>
      </w:r>
      <w:proofErr w:type="spellStart"/>
      <w:r w:rsidRPr="000F3293">
        <w:rPr>
          <w:rFonts w:cs="Times New Roman"/>
        </w:rPr>
        <w:t>Horniman</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and </w:t>
      </w:r>
      <w:proofErr w:type="spellStart"/>
      <w:r w:rsidRPr="000F3293">
        <w:rPr>
          <w:rFonts w:cs="Times New Roman"/>
        </w:rPr>
        <w:t>Gardens</w:t>
      </w:r>
      <w:proofErr w:type="spellEnd"/>
      <w:r w:rsidRPr="000F3293">
        <w:rPr>
          <w:rFonts w:cs="Times New Roman"/>
        </w:rPr>
        <w:t>, 2024a). Έτσι, η σύγκριση αποκαλύπτει ότι τα μουσεία δεν κινούνται ποτέ εκτός συμφερόντων. Το κρίσιμο είναι αν το συμφέρον τους συγκροτείται ως αντίσταση στην επιστροφή ή ως μετασχηματισμός μέσω επιστροφής.</w:t>
      </w:r>
    </w:p>
    <w:p w14:paraId="6F2C301D" w14:textId="30A4A853" w:rsidR="000B0296" w:rsidRPr="000F3293" w:rsidRDefault="00CF49B3" w:rsidP="008E48E5">
      <w:pPr>
        <w:spacing w:after="120" w:line="360" w:lineRule="auto"/>
        <w:ind w:firstLine="720"/>
        <w:jc w:val="both"/>
        <w:rPr>
          <w:rFonts w:cs="Times New Roman"/>
        </w:rPr>
      </w:pPr>
      <w:r w:rsidRPr="000F3293">
        <w:rPr>
          <w:rFonts w:cs="Times New Roman"/>
        </w:rPr>
        <w:t>Η δημόσια επικοινωνία παίζει επίσης διαφορετικό ρόλο σε κάθε περίπτωση. Το Μουσείο Ακρόπολης χρησιμοποιεί τις ανακοινώσεις του για να μετατρέπει κάθε επιστροφή θραύσματος σε παράδειγμα μόνιμης επανένωσης και σε έμμεσο μήνυμα προς το Βρετανικό Μουσείο. Τα δελτία τύπου του έχουν έντονη τελετουργική και συμβολική διάσταση, προβάλλοντας τις πράξεις αυτές ως βήματα στον δρόμο προς την τελική αποκατάσταση του Παρθενώνα (</w:t>
      </w:r>
      <w:proofErr w:type="spellStart"/>
      <w:r w:rsidRPr="000F3293">
        <w:rPr>
          <w:rFonts w:cs="Times New Roman"/>
        </w:rPr>
        <w:t>Acropolis</w:t>
      </w:r>
      <w:proofErr w:type="spellEnd"/>
      <w:r w:rsidRPr="000F3293">
        <w:rPr>
          <w:rFonts w:cs="Times New Roman"/>
        </w:rPr>
        <w:t xml:space="preserve"> </w:t>
      </w:r>
      <w:proofErr w:type="spellStart"/>
      <w:r w:rsidRPr="000F3293">
        <w:rPr>
          <w:rFonts w:cs="Times New Roman"/>
        </w:rPr>
        <w:t>Museum</w:t>
      </w:r>
      <w:proofErr w:type="spellEnd"/>
      <w:r w:rsidRPr="000F3293">
        <w:rPr>
          <w:rFonts w:cs="Times New Roman"/>
        </w:rPr>
        <w:t xml:space="preserve">, 2022b, 2023a). Το Βρετανικό Μουσείο χρησιμοποιεί περισσότερο τη σταθερή, θεσμική και </w:t>
      </w:r>
      <w:proofErr w:type="spellStart"/>
      <w:r w:rsidRPr="000F3293">
        <w:rPr>
          <w:rFonts w:cs="Times New Roman"/>
        </w:rPr>
        <w:lastRenderedPageBreak/>
        <w:t>αποδραματοποιημένη</w:t>
      </w:r>
      <w:proofErr w:type="spellEnd"/>
      <w:r w:rsidRPr="000F3293">
        <w:rPr>
          <w:rFonts w:cs="Times New Roman"/>
        </w:rPr>
        <w:t xml:space="preserve"> γλώσσα της επίσημης σελίδας, η οποία προσπαθεί να </w:t>
      </w:r>
      <w:proofErr w:type="spellStart"/>
      <w:r w:rsidRPr="000F3293">
        <w:rPr>
          <w:rFonts w:cs="Times New Roman"/>
        </w:rPr>
        <w:t>κανονικοποιήσει</w:t>
      </w:r>
      <w:proofErr w:type="spellEnd"/>
      <w:r w:rsidRPr="000F3293">
        <w:rPr>
          <w:rFonts w:cs="Times New Roman"/>
        </w:rPr>
        <w:t xml:space="preserve"> τη διαίρεση των γλυπτών και να τη μετατρέψει σε ευεργετική συνθήκη για την ανθρωπότητα. Το </w:t>
      </w:r>
      <w:proofErr w:type="spellStart"/>
      <w:r w:rsidRPr="000F3293">
        <w:rPr>
          <w:rFonts w:cs="Times New Roman"/>
        </w:rPr>
        <w:t>Horniman</w:t>
      </w:r>
      <w:proofErr w:type="spellEnd"/>
      <w:r w:rsidRPr="000F3293">
        <w:rPr>
          <w:rFonts w:cs="Times New Roman"/>
        </w:rPr>
        <w:t xml:space="preserve">, αντίθετα, κάνει ορατή την ίδια τη διαδικασία. Ανακοινώνει το αίτημα, την έρευνα, τη διαβούλευση, την έγκριση της </w:t>
      </w:r>
      <w:proofErr w:type="spellStart"/>
      <w:r w:rsidRPr="000F3293">
        <w:rPr>
          <w:rFonts w:cs="Times New Roman"/>
        </w:rPr>
        <w:t>Charity</w:t>
      </w:r>
      <w:proofErr w:type="spellEnd"/>
      <w:r w:rsidRPr="000F3293">
        <w:rPr>
          <w:rFonts w:cs="Times New Roman"/>
        </w:rPr>
        <w:t xml:space="preserve"> Commission και τη μεταβίβαση κυριότητας. Δηλαδή, η δημόσια επικοινωνία στο </w:t>
      </w:r>
      <w:proofErr w:type="spellStart"/>
      <w:r w:rsidRPr="000F3293">
        <w:rPr>
          <w:rFonts w:cs="Times New Roman"/>
        </w:rPr>
        <w:t>Horniman</w:t>
      </w:r>
      <w:proofErr w:type="spellEnd"/>
      <w:r w:rsidRPr="000F3293">
        <w:rPr>
          <w:rFonts w:cs="Times New Roman"/>
        </w:rPr>
        <w:t xml:space="preserve"> δεν αποκρύπτει τη σύγκρουση, αλλά την παρουσιάζει ως πεδίο λογοδοσίας και συνεργασίας.</w:t>
      </w:r>
    </w:p>
    <w:p w14:paraId="3AB0C2F7" w14:textId="379EC812" w:rsidR="000B0296" w:rsidRPr="000F3293" w:rsidRDefault="00CF49B3" w:rsidP="003A5DF8">
      <w:pPr>
        <w:spacing w:after="120" w:line="360" w:lineRule="auto"/>
        <w:ind w:firstLine="720"/>
        <w:jc w:val="both"/>
        <w:rPr>
          <w:rFonts w:cs="Times New Roman"/>
        </w:rPr>
      </w:pPr>
      <w:r w:rsidRPr="000F3293">
        <w:rPr>
          <w:rFonts w:cs="Times New Roman"/>
        </w:rPr>
        <w:t xml:space="preserve">Αν συγκρίνουμε τα συγκεκριμένα βήματα που έχουν ήδη συμβεί, η απόκλιση γίνεται ακόμη πιο καθαρή. Στην Ακρόπολη έχουμε οικοδόμηση υποδομής, μόνιμη </w:t>
      </w:r>
      <w:proofErr w:type="spellStart"/>
      <w:r w:rsidRPr="000F3293">
        <w:rPr>
          <w:rFonts w:cs="Times New Roman"/>
        </w:rPr>
        <w:t>μουσειολογική</w:t>
      </w:r>
      <w:proofErr w:type="spellEnd"/>
      <w:r w:rsidRPr="000F3293">
        <w:rPr>
          <w:rFonts w:cs="Times New Roman"/>
        </w:rPr>
        <w:t xml:space="preserve"> ανάδειξη της απουσίας, επιστροφές από Παλέρμο και Βατικανό και συνεχή ενίσχυση του επιχειρήματος της επανένωσης. Στο Βρετανικό Μουσείο έχουμε σταθερή επιμονή στην κατοχή, επαναλαμβανόμενες συζητήσεις χωρίς αλλαγή θέσης, πρόσκληση για συνεταιρισμό χωρίς εγκατάλειψη της αξίωσης ιδιοκτησίας και κοινοβουλευτική επιβεβαίωση ότι ο νόμος δεν θα αλλάξει. Στο </w:t>
      </w:r>
      <w:proofErr w:type="spellStart"/>
      <w:r w:rsidRPr="000F3293">
        <w:rPr>
          <w:rFonts w:cs="Times New Roman"/>
        </w:rPr>
        <w:t>Horniman</w:t>
      </w:r>
      <w:proofErr w:type="spellEnd"/>
      <w:r w:rsidRPr="000F3293">
        <w:rPr>
          <w:rFonts w:cs="Times New Roman"/>
        </w:rPr>
        <w:t xml:space="preserve"> έχουμε διαβούλευση, επίσημη πολιτική, συγκεκριμένο εξωτερικό αίτημα, έρευνα προέλευσης, απόφαση </w:t>
      </w:r>
      <w:proofErr w:type="spellStart"/>
      <w:r w:rsidRPr="000F3293">
        <w:rPr>
          <w:rFonts w:cs="Times New Roman"/>
        </w:rPr>
        <w:t>Trustees</w:t>
      </w:r>
      <w:proofErr w:type="spellEnd"/>
      <w:r w:rsidRPr="000F3293">
        <w:rPr>
          <w:rFonts w:cs="Times New Roman"/>
        </w:rPr>
        <w:t>, ρυθμιστική αρχή έγκρισης, μεταβίβαση κυριότητας, φυσική επιστροφή μέρους των αντικειμένων και δάνειο των υπολοίπων. Η αντιπαραβολή αυτή δείχνει ότι το αποτέλεσμα δεν είναι θέμα μόνο της βαρύτητας της υπόθεσης. Είναι θέμα ύπαρξης εφαρμόσιμου θεσμικού πρωτοκόλλου.</w:t>
      </w:r>
    </w:p>
    <w:p w14:paraId="2A344F67" w14:textId="4C4ACEDF" w:rsidR="000B0296" w:rsidRPr="000F3293" w:rsidRDefault="00CF49B3" w:rsidP="003A5DF8">
      <w:pPr>
        <w:spacing w:after="120" w:line="360" w:lineRule="auto"/>
        <w:ind w:firstLine="720"/>
        <w:jc w:val="both"/>
        <w:rPr>
          <w:rFonts w:cs="Times New Roman"/>
        </w:rPr>
      </w:pPr>
      <w:r w:rsidRPr="000F3293">
        <w:rPr>
          <w:rFonts w:cs="Times New Roman"/>
        </w:rPr>
        <w:t xml:space="preserve">Από την άποψη της θεωρίας, τα τρία μουσεία αναπαριστούν και τρία διαφορετικά σημεία πάνω στον άξονα εθνικισμού και διεθνισμού που είχε ήδη χαρτογραφήσει ο </w:t>
      </w:r>
      <w:proofErr w:type="spellStart"/>
      <w:r w:rsidRPr="000F3293">
        <w:rPr>
          <w:rFonts w:cs="Times New Roman"/>
        </w:rPr>
        <w:t>Merryman</w:t>
      </w:r>
      <w:proofErr w:type="spellEnd"/>
      <w:r w:rsidRPr="000F3293">
        <w:rPr>
          <w:rFonts w:cs="Times New Roman"/>
        </w:rPr>
        <w:t xml:space="preserve">. Το Μουσείο Ακρόπολης είναι το πλησιέστερο σε μια εκδοχή πολιτιστικού εθνικισμού που όμως επιχειρεί να νομιμοποιηθεί διεθνώς μέσω της ακεραιότητας του μνημείου και της παγκόσμιας αξίας του Παρθενώνα. Το Βρετανικό Μουσείο είναι η καθαρότερη μορφή πολιτιστικού διεθνισμού ή, ακριβέστερα, διεθνισμού μέσα από τον θεσμό του Παγκόσμιου Μουσείου. Το </w:t>
      </w:r>
      <w:proofErr w:type="spellStart"/>
      <w:r w:rsidRPr="000F3293">
        <w:rPr>
          <w:rFonts w:cs="Times New Roman"/>
        </w:rPr>
        <w:t>Horniman</w:t>
      </w:r>
      <w:proofErr w:type="spellEnd"/>
      <w:r w:rsidRPr="000F3293">
        <w:rPr>
          <w:rFonts w:cs="Times New Roman"/>
        </w:rPr>
        <w:t xml:space="preserve"> κινείται σε μια υβριδική ζώνη, όπου δεν απορρίπτει τη διεθνή πρόσβαση ή τη διαπολιτισμική αποστολή του μουσείου, αλλά θεωρεί ότι αυτές μπορούν να υπηρετηθούν καλύτερα αφού προηγηθεί ηθική και ιδιοκτησιακή αποκατάσταση (</w:t>
      </w:r>
      <w:proofErr w:type="spellStart"/>
      <w:r w:rsidRPr="000F3293">
        <w:rPr>
          <w:rFonts w:cs="Times New Roman"/>
        </w:rPr>
        <w:t>Merryman</w:t>
      </w:r>
      <w:proofErr w:type="spellEnd"/>
      <w:r w:rsidRPr="000F3293">
        <w:rPr>
          <w:rFonts w:cs="Times New Roman"/>
        </w:rPr>
        <w:t xml:space="preserve">, 2005, </w:t>
      </w:r>
      <w:proofErr w:type="spellStart"/>
      <w:r w:rsidRPr="000F3293">
        <w:rPr>
          <w:rFonts w:cs="Times New Roman"/>
        </w:rPr>
        <w:t>Cuno</w:t>
      </w:r>
      <w:proofErr w:type="spellEnd"/>
      <w:r w:rsidRPr="000F3293">
        <w:rPr>
          <w:rFonts w:cs="Times New Roman"/>
        </w:rPr>
        <w:t xml:space="preserve">, 2011, </w:t>
      </w:r>
      <w:proofErr w:type="spellStart"/>
      <w:r w:rsidRPr="000F3293">
        <w:rPr>
          <w:rFonts w:cs="Times New Roman"/>
        </w:rPr>
        <w:t>Merriman</w:t>
      </w:r>
      <w:proofErr w:type="spellEnd"/>
      <w:r w:rsidRPr="000F3293">
        <w:rPr>
          <w:rFonts w:cs="Times New Roman"/>
        </w:rPr>
        <w:t>, 2024). Αυτή η τρίτη εκδοχή είναι ίσως η σημαντικότερη για το μέλλον, διότι ξεπερνά το δίλημμα «επιστροφή ή παγκόσμιο μουσείο» και προτείνει μια διαδοχική λογική, πρώτα αποκαθίσταται η κυριότητα και μετά επαναδιαπραγματεύεται η διεθνής συνεργασία.</w:t>
      </w:r>
    </w:p>
    <w:p w14:paraId="5987026C" w14:textId="3CEE328C" w:rsidR="000B0296" w:rsidRPr="000F3293" w:rsidRDefault="00CF49B3" w:rsidP="003A5DF8">
      <w:pPr>
        <w:spacing w:after="120" w:line="360" w:lineRule="auto"/>
        <w:ind w:firstLine="720"/>
        <w:jc w:val="both"/>
        <w:rPr>
          <w:rFonts w:cs="Times New Roman"/>
        </w:rPr>
      </w:pPr>
      <w:r w:rsidRPr="000F3293">
        <w:rPr>
          <w:rFonts w:cs="Times New Roman"/>
        </w:rPr>
        <w:lastRenderedPageBreak/>
        <w:t xml:space="preserve">Ειδικά για την παρούσα εργασία, η πιο χρήσιμη συγκριτική διαπίστωση είναι η εξής. Το Μουσείο Ακρόπολης αποδεικνύει ότι η υποδομή και το </w:t>
      </w:r>
      <w:proofErr w:type="spellStart"/>
      <w:r w:rsidRPr="000F3293">
        <w:rPr>
          <w:rFonts w:cs="Times New Roman"/>
        </w:rPr>
        <w:t>συμφραζόμενο</w:t>
      </w:r>
      <w:proofErr w:type="spellEnd"/>
      <w:r w:rsidRPr="000F3293">
        <w:rPr>
          <w:rFonts w:cs="Times New Roman"/>
        </w:rPr>
        <w:t xml:space="preserve"> μπορούν να καταστήσουν το αίτημα επανένωσης εξαιρετικά ισχυρό. Το Βρετανικό Μουσείο αποδεικνύει ότι η ιστορική νομιμοποίηση, η κηδεμονία και η γλώσσα του κοινωφελούς μπορούν να παρατείνουν τη μη επίλυση για δεκαετίες. Το </w:t>
      </w:r>
      <w:proofErr w:type="spellStart"/>
      <w:r w:rsidRPr="000F3293">
        <w:rPr>
          <w:rFonts w:cs="Times New Roman"/>
        </w:rPr>
        <w:t>Horniman</w:t>
      </w:r>
      <w:proofErr w:type="spellEnd"/>
      <w:r w:rsidRPr="000F3293">
        <w:rPr>
          <w:rFonts w:cs="Times New Roman"/>
        </w:rPr>
        <w:t xml:space="preserve"> αποδεικνύει ότι, όταν ένα μουσείο μετασχηματίζει τον εαυτό του, η επιστροφή δεν ισοδυναμεί με αποδυνάμωση, αλλά μπορεί να λειτουργήσει ως νέα μορφή θεσμικής νομιμοποίησης. Επομένως, αν τα τρία μουσεία ιδωθούν μαζί, προσφέρουν κάτι περισσότερο από τρεις ιστορίες. Προσφέρουν τρεις διακριτές θεωρίες για το τι μπορεί να είναι ένα μουσείο μπροστά στο αίτημα της επιστροφής.</w:t>
      </w:r>
    </w:p>
    <w:p w14:paraId="2B74DB5A" w14:textId="77777777" w:rsidR="000B0296" w:rsidRPr="000F3293" w:rsidRDefault="000B0296">
      <w:pPr>
        <w:rPr>
          <w:rFonts w:cs="Times New Roman"/>
        </w:rPr>
      </w:pPr>
    </w:p>
    <w:p w14:paraId="3D0FD7AC" w14:textId="77777777" w:rsidR="000B0296" w:rsidRPr="000F3293" w:rsidRDefault="000B0296">
      <w:pPr>
        <w:rPr>
          <w:rFonts w:cs="Times New Roman"/>
        </w:rPr>
      </w:pPr>
    </w:p>
    <w:p w14:paraId="23D1C25E" w14:textId="77777777" w:rsidR="000B0296" w:rsidRPr="000F3293" w:rsidRDefault="000B0296">
      <w:pPr>
        <w:rPr>
          <w:rFonts w:cs="Times New Roman"/>
        </w:rPr>
      </w:pPr>
    </w:p>
    <w:p w14:paraId="411A64AB" w14:textId="77777777" w:rsidR="000B0296" w:rsidRPr="000F3293" w:rsidRDefault="00CF49B3">
      <w:pPr>
        <w:rPr>
          <w:rFonts w:cs="Times New Roman"/>
        </w:rPr>
      </w:pPr>
      <w:r w:rsidRPr="000F3293">
        <w:rPr>
          <w:rFonts w:cs="Times New Roman"/>
        </w:rPr>
        <w:br w:type="page"/>
      </w:r>
    </w:p>
    <w:p w14:paraId="2C94C9C4" w14:textId="0F3BF890" w:rsidR="000B0296" w:rsidRPr="000F3293" w:rsidRDefault="003E4BA9" w:rsidP="001358B2">
      <w:pPr>
        <w:pStyle w:val="1"/>
      </w:pPr>
      <w:bookmarkStart w:id="36" w:name="_Toc233154588"/>
      <w:r w:rsidRPr="000F3293">
        <w:lastRenderedPageBreak/>
        <w:t xml:space="preserve">Κεφάλαιο </w:t>
      </w:r>
      <w:r w:rsidR="00CF49B3" w:rsidRPr="000F3293">
        <w:t xml:space="preserve">4. </w:t>
      </w:r>
      <w:r w:rsidR="008E77D7" w:rsidRPr="000F3293">
        <w:t>Συμπεράσματα</w:t>
      </w:r>
      <w:bookmarkEnd w:id="36"/>
    </w:p>
    <w:p w14:paraId="411BAA17" w14:textId="06E40781" w:rsidR="0088691E" w:rsidRPr="000F3293" w:rsidRDefault="0088691E" w:rsidP="0088691E">
      <w:pPr>
        <w:spacing w:after="120" w:line="360" w:lineRule="auto"/>
        <w:jc w:val="both"/>
      </w:pPr>
      <w:r w:rsidRPr="000F3293">
        <w:t xml:space="preserve">Η συγκριτική ανάλυση των τριών μουσείων επιτρέπει ορισμένες βασικές θεωρητικές και πρακτικές παρατηρήσεις για το πώς λειτουργεί σήμερα το πεδίο του επαναπατρισμού. Πρώτον, επιβεβαιώνεται ότι το κρίσιμο </w:t>
      </w:r>
      <w:proofErr w:type="spellStart"/>
      <w:r w:rsidRPr="000F3293">
        <w:t>διακύβευμα</w:t>
      </w:r>
      <w:proofErr w:type="spellEnd"/>
      <w:r w:rsidRPr="000F3293">
        <w:t xml:space="preserve"> δεν είναι μόνο η προέλευση ή η βία της αφαίρεσης ενός αντικειμένου. Είναι και ο τρόπος με τον οποίο κάθε μουσείο ορίζει την ίδια του την αποστολή. Το Μουσείο Ακρόπολης παρουσιάζει την αποστολή του ως φροντίδα ενός συγκεκριμένου μνημειακού συνόλου. Το Βρετανικό Μουσείο παρουσιάζει την αποστολή του ως διατήρηση μιας παγκόσμιας συλλογής που αφηγείται τη διασύνδεση των πολιτισμών. Το </w:t>
      </w:r>
      <w:r w:rsidRPr="000F3293">
        <w:rPr>
          <w:lang w:val="en-US"/>
        </w:rPr>
        <w:t>Horniman</w:t>
      </w:r>
      <w:r w:rsidRPr="000F3293">
        <w:t xml:space="preserve">, υπό την επίδραση του </w:t>
      </w:r>
      <w:r w:rsidRPr="000F3293">
        <w:rPr>
          <w:lang w:val="en-US"/>
        </w:rPr>
        <w:t>Nick</w:t>
      </w:r>
      <w:r w:rsidRPr="000F3293">
        <w:t xml:space="preserve"> </w:t>
      </w:r>
      <w:r w:rsidRPr="000F3293">
        <w:rPr>
          <w:lang w:val="en-US"/>
        </w:rPr>
        <w:t>Merriman</w:t>
      </w:r>
      <w:r w:rsidRPr="000F3293">
        <w:t xml:space="preserve"> και της συναφούς θεσμικής στροφής, παρουσιάζει την αποστολή του ως σύνδεση του κοινού με τις παγκόσμιες κουλτούρες, αλλά με όρους που δεν αποκρύπτουν τις αποικιακές βιογραφίες των αντικειμένων και δεν αποκλείουν την επιστροφή τους (</w:t>
      </w:r>
      <w:r w:rsidRPr="000F3293">
        <w:rPr>
          <w:lang w:val="en-US"/>
        </w:rPr>
        <w:t>Acropolis</w:t>
      </w:r>
      <w:r w:rsidRPr="000F3293">
        <w:t xml:space="preserve"> </w:t>
      </w:r>
      <w:r w:rsidRPr="000F3293">
        <w:rPr>
          <w:lang w:val="en-US"/>
        </w:rPr>
        <w:t>Museum</w:t>
      </w:r>
      <w:r w:rsidRPr="000F3293">
        <w:t xml:space="preserve">, </w:t>
      </w:r>
      <w:r w:rsidRPr="000F3293">
        <w:rPr>
          <w:lang w:val="en-US"/>
        </w:rPr>
        <w:t>n</w:t>
      </w:r>
      <w:r w:rsidRPr="000F3293">
        <w:t>.</w:t>
      </w:r>
      <w:r w:rsidRPr="000F3293">
        <w:rPr>
          <w:lang w:val="en-US"/>
        </w:rPr>
        <w:t>d</w:t>
      </w:r>
      <w:r w:rsidRPr="000F3293">
        <w:t>.-</w:t>
      </w:r>
      <w:r w:rsidRPr="000F3293">
        <w:rPr>
          <w:lang w:val="en-US"/>
        </w:rPr>
        <w:t>a</w:t>
      </w:r>
      <w:r w:rsidRPr="000F3293">
        <w:t xml:space="preserve">, </w:t>
      </w:r>
      <w:r w:rsidRPr="000F3293">
        <w:rPr>
          <w:lang w:val="en-US"/>
        </w:rPr>
        <w:t>n</w:t>
      </w:r>
      <w:r w:rsidRPr="000F3293">
        <w:t>.</w:t>
      </w:r>
      <w:r w:rsidRPr="000F3293">
        <w:rPr>
          <w:lang w:val="en-US"/>
        </w:rPr>
        <w:t>d</w:t>
      </w:r>
      <w:r w:rsidRPr="000F3293">
        <w:t>.-</w:t>
      </w:r>
      <w:r w:rsidRPr="000F3293">
        <w:rPr>
          <w:lang w:val="en-US"/>
        </w:rPr>
        <w:t>c</w:t>
      </w:r>
      <w:r w:rsidRPr="000F3293">
        <w:t xml:space="preserve">, </w:t>
      </w:r>
      <w:r w:rsidRPr="000F3293">
        <w:rPr>
          <w:lang w:val="en-US"/>
        </w:rPr>
        <w:t>British</w:t>
      </w:r>
      <w:r w:rsidRPr="000F3293">
        <w:t xml:space="preserve"> </w:t>
      </w:r>
      <w:r w:rsidRPr="000F3293">
        <w:rPr>
          <w:lang w:val="en-US"/>
        </w:rPr>
        <w:t>Museum</w:t>
      </w:r>
      <w:r w:rsidRPr="000F3293">
        <w:t xml:space="preserve">, </w:t>
      </w:r>
      <w:r w:rsidRPr="000F3293">
        <w:rPr>
          <w:lang w:val="en-US"/>
        </w:rPr>
        <w:t>n</w:t>
      </w:r>
      <w:r w:rsidRPr="000F3293">
        <w:t>.</w:t>
      </w:r>
      <w:r w:rsidRPr="000F3293">
        <w:rPr>
          <w:lang w:val="en-US"/>
        </w:rPr>
        <w:t>d</w:t>
      </w:r>
      <w:r w:rsidRPr="000F3293">
        <w:t>.-</w:t>
      </w:r>
      <w:r w:rsidRPr="000F3293">
        <w:rPr>
          <w:lang w:val="en-US"/>
        </w:rPr>
        <w:t>c</w:t>
      </w:r>
      <w:r w:rsidRPr="000F3293">
        <w:t xml:space="preserve">, </w:t>
      </w:r>
      <w:r w:rsidRPr="000F3293">
        <w:rPr>
          <w:lang w:val="en-US"/>
        </w:rPr>
        <w:t>Horniman</w:t>
      </w:r>
      <w:r w:rsidRPr="000F3293">
        <w:t xml:space="preserve"> </w:t>
      </w:r>
      <w:r w:rsidRPr="000F3293">
        <w:rPr>
          <w:lang w:val="en-US"/>
        </w:rPr>
        <w:t>Museum</w:t>
      </w:r>
      <w:r w:rsidRPr="000F3293">
        <w:t xml:space="preserve"> </w:t>
      </w:r>
      <w:r w:rsidRPr="000F3293">
        <w:rPr>
          <w:lang w:val="en-US"/>
        </w:rPr>
        <w:t>and</w:t>
      </w:r>
      <w:r w:rsidRPr="000F3293">
        <w:t xml:space="preserve"> </w:t>
      </w:r>
      <w:r w:rsidRPr="000F3293">
        <w:rPr>
          <w:lang w:val="en-US"/>
        </w:rPr>
        <w:t>Gardens</w:t>
      </w:r>
      <w:r w:rsidRPr="000F3293">
        <w:t>, 2020, 2022</w:t>
      </w:r>
      <w:r w:rsidRPr="000F3293">
        <w:rPr>
          <w:lang w:val="en-US"/>
        </w:rPr>
        <w:t>a</w:t>
      </w:r>
      <w:r w:rsidRPr="000F3293">
        <w:t xml:space="preserve">). Επομένως, το ίδιο αίτημα επιστροφής αποκτά διαφορετικό νόημα αναλόγως με την εσωτερική </w:t>
      </w:r>
      <w:proofErr w:type="spellStart"/>
      <w:r w:rsidRPr="000F3293">
        <w:t>αυτοερμηνεία</w:t>
      </w:r>
      <w:proofErr w:type="spellEnd"/>
      <w:r w:rsidRPr="000F3293">
        <w:t xml:space="preserve"> του μουσείου.</w:t>
      </w:r>
    </w:p>
    <w:p w14:paraId="5D58FA7D" w14:textId="77777777" w:rsidR="0088691E" w:rsidRPr="000F3293" w:rsidRDefault="0088691E" w:rsidP="0088691E">
      <w:pPr>
        <w:spacing w:after="120" w:line="360" w:lineRule="auto"/>
        <w:ind w:firstLine="720"/>
        <w:jc w:val="both"/>
        <w:rPr>
          <w:rFonts w:cs="Times New Roman"/>
        </w:rPr>
      </w:pPr>
      <w:r w:rsidRPr="000F3293">
        <w:rPr>
          <w:rFonts w:cs="Times New Roman"/>
        </w:rPr>
        <w:t xml:space="preserve">Δεύτερον, η έρευνα αναδεικνύει ότι οι νομικές διατάξεις δεν έχουν απλώς κανονιστική λειτουργία, αλλά και ισχυρή αφηγηματική λειτουργία. Στο Βρετανικό Μουσείο, ο Νόμος περί Βρετανικού Μουσείου του 1963 και η κοινοβουλευτική ιστορία του 1816 δεν χρησιμοποιούνται μόνο ως νομικά όρια, αλλά ως αφηγηματικοί μηχανισμοί που </w:t>
      </w:r>
      <w:proofErr w:type="spellStart"/>
      <w:r w:rsidRPr="000F3293">
        <w:rPr>
          <w:rFonts w:cs="Times New Roman"/>
        </w:rPr>
        <w:t>φυσικοποιούν</w:t>
      </w:r>
      <w:proofErr w:type="spellEnd"/>
      <w:r w:rsidRPr="000F3293">
        <w:rPr>
          <w:rFonts w:cs="Times New Roman"/>
        </w:rPr>
        <w:t xml:space="preserve"> την κατοχή και τη μετατρέπουν σε αποτέλεσμα θεσμικής ορθότητας. Αντιστρόφως, στην ελληνική περίπτωση, ο Ν. 3711/2008 και το Π.Δ. 64/2013 δεν είναι μόνο οργανωτικά κείμενα. Αποτελούν στοιχεία μιας κρατικής αφήγησης που συνδέει το μουσείο με τη συγκέντρωση και την παρουσίαση των αποσπασμένων μελών της Ακρόπολης. Στο </w:t>
      </w:r>
      <w:r w:rsidRPr="000F3293">
        <w:rPr>
          <w:rFonts w:cs="Times New Roman"/>
          <w:lang w:val="en-US"/>
        </w:rPr>
        <w:t>Horniman</w:t>
      </w:r>
      <w:r w:rsidRPr="000F3293">
        <w:rPr>
          <w:rFonts w:cs="Times New Roman"/>
        </w:rPr>
        <w:t xml:space="preserve">, η υιοθέτηση πολιτικής, η προσφυγή στη Φιλανθρωπική Επιτροπή και η επίκληση της ηθικής υποχρέωσης συγκροτούν ένα διαφορετικό </w:t>
      </w:r>
      <w:proofErr w:type="spellStart"/>
      <w:r w:rsidRPr="000F3293">
        <w:rPr>
          <w:rFonts w:cs="Times New Roman"/>
        </w:rPr>
        <w:t>νομικοηθικό</w:t>
      </w:r>
      <w:proofErr w:type="spellEnd"/>
      <w:r w:rsidRPr="000F3293">
        <w:rPr>
          <w:rFonts w:cs="Times New Roman"/>
        </w:rPr>
        <w:t xml:space="preserve"> αφήγημα, όπου η νομιμότητα της επιστροφής οικοδομείται βήμα προς βήμα (</w:t>
      </w:r>
      <w:r w:rsidRPr="000F3293">
        <w:rPr>
          <w:rFonts w:cs="Times New Roman"/>
          <w:lang w:val="en-US"/>
        </w:rPr>
        <w:t>Horniman</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and</w:t>
      </w:r>
      <w:r w:rsidRPr="000F3293">
        <w:rPr>
          <w:rFonts w:cs="Times New Roman"/>
        </w:rPr>
        <w:t xml:space="preserve"> </w:t>
      </w:r>
      <w:r w:rsidRPr="000F3293">
        <w:rPr>
          <w:rFonts w:cs="Times New Roman"/>
          <w:lang w:val="en-US"/>
        </w:rPr>
        <w:t>Gardens</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2024</w:t>
      </w:r>
      <w:r w:rsidRPr="000F3293">
        <w:rPr>
          <w:rFonts w:cs="Times New Roman"/>
          <w:lang w:val="en-US"/>
        </w:rPr>
        <w:t>b</w:t>
      </w:r>
      <w:r w:rsidRPr="000F3293">
        <w:rPr>
          <w:rFonts w:cs="Times New Roman"/>
        </w:rPr>
        <w:t>). Συνεπώς, το δίκαιο στο πεδίο της πολιτιστικής κληρονομιάς δεν είναι μόνο σύστημα κανόνων. Είναι και σύστημα νομιμοποιητικών ιστοριών.</w:t>
      </w:r>
    </w:p>
    <w:p w14:paraId="398E67D9" w14:textId="77777777" w:rsidR="0088691E" w:rsidRPr="000F3293" w:rsidRDefault="0088691E" w:rsidP="0088691E">
      <w:pPr>
        <w:spacing w:after="120" w:line="360" w:lineRule="auto"/>
        <w:ind w:firstLine="720"/>
        <w:jc w:val="both"/>
        <w:rPr>
          <w:rFonts w:cs="Times New Roman"/>
        </w:rPr>
      </w:pPr>
      <w:r w:rsidRPr="000F3293">
        <w:rPr>
          <w:rFonts w:cs="Times New Roman"/>
        </w:rPr>
        <w:t xml:space="preserve">Τρίτον, η ανάλυση επιβεβαιώνει τη μεγάλη σημασία της δημόσιας επικοινωνίας. Τα δελτία Τύπου, οι επίσημες ιστοσελίδες, οι ετήσιες εκθέσεις και τα βίντεο δεν είναι δευτερεύον υλικό. Σχηματίζουν το πλαίσιο μέσα στο οποίο κοινό, δημοσιογράφοι, πολιτικοί και διεθνείς οργανισμοί </w:t>
      </w:r>
      <w:r w:rsidRPr="000F3293">
        <w:rPr>
          <w:rFonts w:cs="Times New Roman"/>
        </w:rPr>
        <w:lastRenderedPageBreak/>
        <w:t xml:space="preserve">αντιλαμβάνονται τις υποθέσεις. Το Μουσείο Ακρόπολης επιτελεί μια διαρκή παιδαγωγική της απουσίας, χρησιμοποιώντας την Αίθουσα του Παρθενώνα και τις ανακοινώσεις του για να καταστήσει την απουσία υλική και το αίτημα επανένωσης αυτονόητο. Το Βρετανικό Μουσείο επιτελεί μια παιδαγωγική της συμπληρωματικότητας, πείθοντας ότι η διαίρεση των γλυπτών δεν είναι πρόβλημα αλλά πλεονέκτημα για το παγκόσμιο κοινό. Το </w:t>
      </w:r>
      <w:r w:rsidRPr="000F3293">
        <w:rPr>
          <w:rFonts w:cs="Times New Roman"/>
          <w:lang w:val="en-US"/>
        </w:rPr>
        <w:t>Horniman</w:t>
      </w:r>
      <w:r w:rsidRPr="000F3293">
        <w:rPr>
          <w:rFonts w:cs="Times New Roman"/>
        </w:rPr>
        <w:t xml:space="preserve"> επιτελεί μια παιδαγωγική της λογοδοσίας, όπου η επιστροφή παρουσιάζεται ως διαφανής, τεκμηριωμένη και κοινωνικά </w:t>
      </w:r>
      <w:proofErr w:type="spellStart"/>
      <w:r w:rsidRPr="000F3293">
        <w:rPr>
          <w:rFonts w:cs="Times New Roman"/>
        </w:rPr>
        <w:t>συζητημένη</w:t>
      </w:r>
      <w:proofErr w:type="spellEnd"/>
      <w:r w:rsidRPr="000F3293">
        <w:rPr>
          <w:rFonts w:cs="Times New Roman"/>
        </w:rPr>
        <w:t xml:space="preserve"> διαδικασία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b</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xml:space="preserve">, </w:t>
      </w:r>
      <w:r w:rsidRPr="000F3293">
        <w:rPr>
          <w:rFonts w:cs="Times New Roman"/>
          <w:lang w:val="en-US"/>
        </w:rPr>
        <w:t>Horniman</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and</w:t>
      </w:r>
      <w:r w:rsidRPr="000F3293">
        <w:rPr>
          <w:rFonts w:cs="Times New Roman"/>
        </w:rPr>
        <w:t xml:space="preserve"> </w:t>
      </w:r>
      <w:r w:rsidRPr="000F3293">
        <w:rPr>
          <w:rFonts w:cs="Times New Roman"/>
          <w:lang w:val="en-US"/>
        </w:rPr>
        <w:t>Gardens</w:t>
      </w:r>
      <w:r w:rsidRPr="000F3293">
        <w:rPr>
          <w:rFonts w:cs="Times New Roman"/>
        </w:rPr>
        <w:t>, 2022</w:t>
      </w:r>
      <w:r w:rsidRPr="000F3293">
        <w:rPr>
          <w:rFonts w:cs="Times New Roman"/>
          <w:lang w:val="en-US"/>
        </w:rPr>
        <w:t>a</w:t>
      </w:r>
      <w:r w:rsidRPr="000F3293">
        <w:rPr>
          <w:rFonts w:cs="Times New Roman"/>
        </w:rPr>
        <w:t>, 2024</w:t>
      </w:r>
      <w:r w:rsidRPr="000F3293">
        <w:rPr>
          <w:rFonts w:cs="Times New Roman"/>
          <w:lang w:val="en-US"/>
        </w:rPr>
        <w:t>a</w:t>
      </w:r>
      <w:r w:rsidRPr="000F3293">
        <w:rPr>
          <w:rFonts w:cs="Times New Roman"/>
        </w:rPr>
        <w:t xml:space="preserve">, </w:t>
      </w:r>
      <w:r w:rsidRPr="000F3293">
        <w:rPr>
          <w:rFonts w:cs="Times New Roman"/>
          <w:lang w:val="en-US"/>
        </w:rPr>
        <w:t>Acropolis</w:t>
      </w:r>
      <w:r w:rsidRPr="000F3293">
        <w:rPr>
          <w:rFonts w:cs="Times New Roman"/>
        </w:rPr>
        <w:t xml:space="preserve"> </w:t>
      </w:r>
      <w:r w:rsidRPr="000F3293">
        <w:rPr>
          <w:rFonts w:cs="Times New Roman"/>
          <w:lang w:val="en-US"/>
        </w:rPr>
        <w:t>Museum</w:t>
      </w:r>
      <w:r w:rsidRPr="000F3293">
        <w:rPr>
          <w:rFonts w:cs="Times New Roman"/>
        </w:rPr>
        <w:t>, 2022</w:t>
      </w:r>
      <w:r w:rsidRPr="000F3293">
        <w:rPr>
          <w:rFonts w:cs="Times New Roman"/>
          <w:lang w:val="en-US"/>
        </w:rPr>
        <w:t>b</w:t>
      </w:r>
      <w:r w:rsidRPr="000F3293">
        <w:rPr>
          <w:rFonts w:cs="Times New Roman"/>
        </w:rPr>
        <w:t>, 2023</w:t>
      </w:r>
      <w:r w:rsidRPr="000F3293">
        <w:rPr>
          <w:rFonts w:cs="Times New Roman"/>
          <w:lang w:val="en-US"/>
        </w:rPr>
        <w:t>a</w:t>
      </w:r>
      <w:r w:rsidRPr="000F3293">
        <w:rPr>
          <w:rFonts w:cs="Times New Roman"/>
        </w:rPr>
        <w:t>). Αυτό σημαίνει ότι η πολιτιστική διπλωματία δεν λειτουργεί μόνο σε υπουργικό ή διακρατικό επίπεδο. Λειτουργεί μέσα από τη μουσειακή επικοινωνία ως καθημερινή παραγωγή θεσμικού νοήματος.</w:t>
      </w:r>
    </w:p>
    <w:p w14:paraId="2732D2E4" w14:textId="77777777" w:rsidR="0088691E" w:rsidRPr="000F3293" w:rsidRDefault="0088691E" w:rsidP="0088691E">
      <w:pPr>
        <w:spacing w:after="120" w:line="360" w:lineRule="auto"/>
        <w:ind w:firstLine="720"/>
        <w:jc w:val="both"/>
        <w:rPr>
          <w:rFonts w:cs="Times New Roman"/>
        </w:rPr>
      </w:pPr>
      <w:r w:rsidRPr="000F3293">
        <w:rPr>
          <w:rFonts w:cs="Times New Roman"/>
        </w:rPr>
        <w:t xml:space="preserve">Τέταρτον, η σύγκριση δείχνει ότι η έννοια του δημόσιου οφέλους είναι βαθιά αμφιλεγόμενη και καθόλου ουδέτερη. Για το Βρετανικό Μουσείο, δημόσιο όφελος σημαίνει ότι εκατομμύρια επισκέπτες βλέπουν τα γλυπτά μέσα στο πλαίσιο μιας παγκόσμιας συλλογής και αποκτούν συγκριτική κατανόηση της ανθρώπινης ιστορίας. Για το Μουσείο Ακρόπολης, δημόσιο όφελος σημαίνει ότι τα γλυπτά αποκτούν ξανά συνοχή με το μνημείο, το φως, τον προσανατολισμό και την ιστορική τους ένταξη. Για το </w:t>
      </w:r>
      <w:r w:rsidRPr="000F3293">
        <w:rPr>
          <w:rFonts w:cs="Times New Roman"/>
          <w:lang w:val="en-US"/>
        </w:rPr>
        <w:t>Horniman</w:t>
      </w:r>
      <w:r w:rsidRPr="000F3293">
        <w:rPr>
          <w:rFonts w:cs="Times New Roman"/>
        </w:rPr>
        <w:t xml:space="preserve">, δημόσιο όφελος </w:t>
      </w:r>
      <w:proofErr w:type="spellStart"/>
      <w:r w:rsidRPr="000F3293">
        <w:rPr>
          <w:rFonts w:cs="Times New Roman"/>
        </w:rPr>
        <w:t>επανανοηματοδοτείται</w:t>
      </w:r>
      <w:proofErr w:type="spellEnd"/>
      <w:r w:rsidRPr="000F3293">
        <w:rPr>
          <w:rFonts w:cs="Times New Roman"/>
        </w:rPr>
        <w:t xml:space="preserve"> ώστε να συμπεριλάβει την ηθική επανόρθωση, τη συνεργασία με τις κοινότητες προέλευσης και τη δυνατότητα νέων δανεισμών μετά την επιστροφή. Πρόκειται, επομένως, για τρεις ανταγωνιστικές ερμηνείες του ίδιου δημοσίου αγαθού. Αυτό συμφωνεί με την ευρύτερη βιβλιογραφία της πολιτιστικής πολιτικής, η οποία έχει δείξει ότι τα μουσεία δεν παράγουν μόνο γνώση, αλλά και μορφές κοινωνικής και πολιτικής κανονικότητας (</w:t>
      </w:r>
      <w:r w:rsidRPr="000F3293">
        <w:rPr>
          <w:rFonts w:cs="Times New Roman"/>
          <w:lang w:val="en-US"/>
        </w:rPr>
        <w:t>Gray</w:t>
      </w:r>
      <w:r w:rsidRPr="000F3293">
        <w:rPr>
          <w:rFonts w:cs="Times New Roman"/>
        </w:rPr>
        <w:t xml:space="preserve">, 2015, </w:t>
      </w:r>
      <w:proofErr w:type="spellStart"/>
      <w:r w:rsidRPr="000F3293">
        <w:rPr>
          <w:rFonts w:cs="Times New Roman"/>
          <w:lang w:val="en-US"/>
        </w:rPr>
        <w:t>Grincheva</w:t>
      </w:r>
      <w:proofErr w:type="spellEnd"/>
      <w:r w:rsidRPr="000F3293">
        <w:rPr>
          <w:rFonts w:cs="Times New Roman"/>
        </w:rPr>
        <w:t>, 2024).</w:t>
      </w:r>
    </w:p>
    <w:p w14:paraId="63D12D3F" w14:textId="3FD47208" w:rsidR="0088691E" w:rsidRPr="000F3293" w:rsidRDefault="0088691E" w:rsidP="0088691E">
      <w:pPr>
        <w:spacing w:after="120" w:line="360" w:lineRule="auto"/>
        <w:ind w:firstLine="720"/>
        <w:jc w:val="both"/>
        <w:rPr>
          <w:rFonts w:cs="Times New Roman"/>
        </w:rPr>
      </w:pPr>
      <w:proofErr w:type="spellStart"/>
      <w:r w:rsidRPr="000F3293">
        <w:rPr>
          <w:rFonts w:cs="Times New Roman"/>
        </w:rPr>
        <w:t>Πέμπτον</w:t>
      </w:r>
      <w:proofErr w:type="spellEnd"/>
      <w:r w:rsidRPr="000F3293">
        <w:rPr>
          <w:rFonts w:cs="Times New Roman"/>
        </w:rPr>
        <w:t xml:space="preserve">, η παρούσα σύγκριση επιτρέπει να δούμε με μεγαλύτερη καθαρότητα ότι η επιστροφή δεν είναι ένα ενιαίο φαινόμενο. Στην υπόθεση του Παρθενώνα, η λέξη επανένωση είναι αποφασιστικής σημασίας, επειδή το ζητούμενο είναι η αποκατάσταση τμημάτων ενός μοναδικού αρχιτεκτονικού συνόλου. Στην υπόθεση του Μπενίν, το ζήτημα αρθρώνεται κυρίως ως αποκατάσταση, δηλαδή ως ηθική και πολιτική επανόρθωση για τη βίαιη αποικιακή αφαίρεση. Η διάκριση αυτή δεν είναι απλή λεκτική διαφοροποίηση. Σχηματίζει διαφορετικές στρατηγικές. Στην Ακρόπολη, το ισχυρότερο χαρτί είναι η ακεραιότητα του μνημείου. Στο Μπενίν, το ισχυρότερο χαρτί είναι η αναγνώριση της λεηλασίας και η αδυναμία ηθικής υπεράσπισης της ιστορικής κτήσης. Το </w:t>
      </w:r>
      <w:r w:rsidRPr="000F3293">
        <w:rPr>
          <w:rFonts w:cs="Times New Roman"/>
          <w:lang w:val="en-US"/>
        </w:rPr>
        <w:t>Horniman</w:t>
      </w:r>
      <w:r w:rsidRPr="000F3293">
        <w:rPr>
          <w:rFonts w:cs="Times New Roman"/>
        </w:rPr>
        <w:t xml:space="preserve"> πέτυχε ακριβώς επειδή η προέλευση της βίας ήταν σχετικά </w:t>
      </w:r>
      <w:r w:rsidRPr="000F3293">
        <w:rPr>
          <w:rFonts w:cs="Times New Roman"/>
        </w:rPr>
        <w:lastRenderedPageBreak/>
        <w:t xml:space="preserve">αδιαμφισβήτητη και επειδή το ίδρυμα αποδέχθηκε ότι αυτή η προέλευση έχει συνέπειες στη σημερινή κατοχή. Το Βρετανικό Μουσείο, αντίθετα, παραμένει ισχυρότερο στο μέτρο που εξακολουθεί να πλαισιώνει την απόκτηση από τον </w:t>
      </w:r>
      <w:proofErr w:type="spellStart"/>
      <w:r w:rsidRPr="000F3293">
        <w:rPr>
          <w:rFonts w:cs="Times New Roman"/>
        </w:rPr>
        <w:t>Έλγιν</w:t>
      </w:r>
      <w:proofErr w:type="spellEnd"/>
      <w:r w:rsidRPr="000F3293">
        <w:rPr>
          <w:rFonts w:cs="Times New Roman"/>
        </w:rPr>
        <w:t xml:space="preserve"> ως νομικά νομιμοποιημένη και ιστορικά επεξεργασμένη από το βρετανικό κοινοβούλιο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b</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xml:space="preserve">, </w:t>
      </w:r>
      <w:r w:rsidRPr="000F3293">
        <w:rPr>
          <w:rFonts w:cs="Times New Roman"/>
          <w:lang w:val="en-US"/>
        </w:rPr>
        <w:t>Hicks</w:t>
      </w:r>
      <w:r w:rsidRPr="000F3293">
        <w:rPr>
          <w:rFonts w:cs="Times New Roman"/>
        </w:rPr>
        <w:t xml:space="preserve">, 2020, </w:t>
      </w:r>
      <w:r w:rsidRPr="000F3293">
        <w:rPr>
          <w:rFonts w:cs="Times New Roman"/>
          <w:lang w:val="en-US"/>
        </w:rPr>
        <w:t>Merriman</w:t>
      </w:r>
      <w:r w:rsidRPr="000F3293">
        <w:rPr>
          <w:rFonts w:cs="Times New Roman"/>
        </w:rPr>
        <w:t xml:space="preserve">, 2024). </w:t>
      </w:r>
    </w:p>
    <w:p w14:paraId="764A57A0" w14:textId="77777777" w:rsidR="00221736" w:rsidRPr="000F3293" w:rsidRDefault="00000000" w:rsidP="003E4BA9">
      <w:pPr>
        <w:spacing w:line="360" w:lineRule="auto"/>
        <w:ind w:firstLine="720"/>
        <w:jc w:val="both"/>
      </w:pPr>
      <w:r w:rsidRPr="000F3293">
        <w:t xml:space="preserve">Η ίδια ασυμμετρία αποτυπώνεται και στη στάση του Βρετανικού Μουσείου απέναντι στα Μπρούντζινα του Μπενίν. Ενώ το </w:t>
      </w:r>
      <w:proofErr w:type="spellStart"/>
      <w:r w:rsidRPr="000F3293">
        <w:t>Horniman</w:t>
      </w:r>
      <w:proofErr w:type="spellEnd"/>
      <w:r w:rsidRPr="000F3293">
        <w:t xml:space="preserve"> αναγνώρισε τη βίαιη αποικιακή προέλευση και προχώρησε σε επιστροφή, το Βρετανικό Μουσείο διατηρεί και τα δικά του Μπρούντζινα, εμμένοντας στο επιχείρημα των νομοθετικών περιορισμών και του οικουμενικού μουσείου, γεγονός που καθιστά τη θέση του ολοένα πιο δυσχερή σε ηθικό επίπεδο (</w:t>
      </w:r>
      <w:proofErr w:type="spellStart"/>
      <w:r w:rsidRPr="000F3293">
        <w:t>Hicks</w:t>
      </w:r>
      <w:proofErr w:type="spellEnd"/>
      <w:r w:rsidRPr="000F3293">
        <w:t xml:space="preserve">, 2020, </w:t>
      </w:r>
      <w:proofErr w:type="spellStart"/>
      <w:r w:rsidRPr="000F3293">
        <w:t>Merriman</w:t>
      </w:r>
      <w:proofErr w:type="spellEnd"/>
      <w:r w:rsidRPr="000F3293">
        <w:t>, 2024).</w:t>
      </w:r>
    </w:p>
    <w:p w14:paraId="6AC1C178" w14:textId="77777777" w:rsidR="0088691E" w:rsidRPr="000F3293" w:rsidRDefault="0088691E" w:rsidP="0088691E">
      <w:pPr>
        <w:spacing w:after="120" w:line="360" w:lineRule="auto"/>
        <w:ind w:firstLine="720"/>
        <w:jc w:val="both"/>
        <w:rPr>
          <w:rFonts w:cs="Times New Roman"/>
        </w:rPr>
      </w:pPr>
      <w:proofErr w:type="spellStart"/>
      <w:r w:rsidRPr="000F3293">
        <w:rPr>
          <w:rFonts w:cs="Times New Roman"/>
        </w:rPr>
        <w:t>Έκτον</w:t>
      </w:r>
      <w:proofErr w:type="spellEnd"/>
      <w:r w:rsidRPr="000F3293">
        <w:rPr>
          <w:rFonts w:cs="Times New Roman"/>
        </w:rPr>
        <w:t xml:space="preserve">, η περίπτωση του </w:t>
      </w:r>
      <w:r w:rsidRPr="000F3293">
        <w:rPr>
          <w:rFonts w:cs="Times New Roman"/>
          <w:lang w:val="en-US"/>
        </w:rPr>
        <w:t>Nick</w:t>
      </w:r>
      <w:r w:rsidRPr="000F3293">
        <w:rPr>
          <w:rFonts w:cs="Times New Roman"/>
        </w:rPr>
        <w:t xml:space="preserve"> </w:t>
      </w:r>
      <w:r w:rsidRPr="000F3293">
        <w:rPr>
          <w:rFonts w:cs="Times New Roman"/>
          <w:lang w:val="en-US"/>
        </w:rPr>
        <w:t>Merriman</w:t>
      </w:r>
      <w:r w:rsidRPr="000F3293">
        <w:rPr>
          <w:rFonts w:cs="Times New Roman"/>
        </w:rPr>
        <w:t xml:space="preserve"> έχει ιδιαίτερη ερμηνευτική αξία για τη συζήτηση γύρω από τον ρόλο των προσώπων στους οργανισμούς. Η βιβλιογραφία συχνά επικεντρώνεται στους νόμους, στις κυβερνήσεις και στα ιδρύματα, αλλά η ανάλυση του </w:t>
      </w:r>
      <w:r w:rsidRPr="000F3293">
        <w:rPr>
          <w:rFonts w:cs="Times New Roman"/>
          <w:lang w:val="en-US"/>
        </w:rPr>
        <w:t>Horniman</w:t>
      </w:r>
      <w:r w:rsidRPr="000F3293">
        <w:rPr>
          <w:rFonts w:cs="Times New Roman"/>
        </w:rPr>
        <w:t xml:space="preserve"> δείχνει ότι ηγετικά πρόσωπα με επιστημονικό βάθος και επικοινωνιακή ικανότητα μπορούν να επηρεάσουν ουσιαστικά τη θεσμική κατεύθυνση. Ο </w:t>
      </w:r>
      <w:r w:rsidRPr="000F3293">
        <w:rPr>
          <w:rFonts w:cs="Times New Roman"/>
          <w:lang w:val="en-US"/>
        </w:rPr>
        <w:t>Merriman</w:t>
      </w:r>
      <w:r w:rsidRPr="000F3293">
        <w:rPr>
          <w:rFonts w:cs="Times New Roman"/>
        </w:rPr>
        <w:t xml:space="preserve"> δεν λειτούργησε ως μεμονωμένος «φωτισμένος» διευθυντής που αποφάσισε αυθαίρετα. Δημιούργησε όραμα, ανέπτυξε γλώσσα αυτοκριτικής για το αποικιακό παρελθόν, προώθησε διαβούλευση, θεμελίωσε πολιτική και μετέτρεψε την αποκατάσταση σε θεσμικά και επικοινωνιακά </w:t>
      </w:r>
      <w:proofErr w:type="spellStart"/>
      <w:r w:rsidRPr="000F3293">
        <w:rPr>
          <w:rFonts w:cs="Times New Roman"/>
        </w:rPr>
        <w:t>διαχειρίσιμο</w:t>
      </w:r>
      <w:proofErr w:type="spellEnd"/>
      <w:r w:rsidRPr="000F3293">
        <w:rPr>
          <w:rFonts w:cs="Times New Roman"/>
        </w:rPr>
        <w:t xml:space="preserve"> δρόμο. Αυτό έχει μεγαλύτερη σημασία από την ίδια την προσωπική του επιρροή. Δείχνει ότι η ηγεσία στα μουσεία μπορεί να λειτουργήσει ως γέφυρα ανάμεσα στην ακαδημαϊκή σκέψη, στην ηθική λογοδοσία και στη διοικητική πράξη (</w:t>
      </w:r>
      <w:r w:rsidRPr="000F3293">
        <w:rPr>
          <w:rFonts w:cs="Times New Roman"/>
          <w:lang w:val="en-US"/>
        </w:rPr>
        <w:t>Horniman</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and</w:t>
      </w:r>
      <w:r w:rsidRPr="000F3293">
        <w:rPr>
          <w:rFonts w:cs="Times New Roman"/>
        </w:rPr>
        <w:t xml:space="preserve"> </w:t>
      </w:r>
      <w:r w:rsidRPr="000F3293">
        <w:rPr>
          <w:rFonts w:cs="Times New Roman"/>
          <w:lang w:val="en-US"/>
        </w:rPr>
        <w:t>Gardens</w:t>
      </w:r>
      <w:r w:rsidRPr="000F3293">
        <w:rPr>
          <w:rFonts w:cs="Times New Roman"/>
        </w:rPr>
        <w:t xml:space="preserve">, 2018, 2020,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a</w:t>
      </w:r>
      <w:r w:rsidRPr="000F3293">
        <w:rPr>
          <w:rFonts w:cs="Times New Roman"/>
        </w:rPr>
        <w:t xml:space="preserve">, </w:t>
      </w:r>
      <w:r w:rsidRPr="000F3293">
        <w:rPr>
          <w:rFonts w:cs="Times New Roman"/>
          <w:lang w:val="en-US"/>
        </w:rPr>
        <w:t>Merriman</w:t>
      </w:r>
      <w:r w:rsidRPr="000F3293">
        <w:rPr>
          <w:rFonts w:cs="Times New Roman"/>
        </w:rPr>
        <w:t>, 2024).</w:t>
      </w:r>
    </w:p>
    <w:p w14:paraId="262814E7" w14:textId="77777777" w:rsidR="0088691E" w:rsidRPr="000F3293" w:rsidRDefault="0088691E" w:rsidP="0088691E">
      <w:pPr>
        <w:spacing w:after="120" w:line="360" w:lineRule="auto"/>
        <w:ind w:firstLine="720"/>
        <w:jc w:val="both"/>
        <w:rPr>
          <w:rFonts w:cs="Times New Roman"/>
        </w:rPr>
      </w:pPr>
      <w:proofErr w:type="spellStart"/>
      <w:r w:rsidRPr="000F3293">
        <w:rPr>
          <w:rFonts w:cs="Times New Roman"/>
        </w:rPr>
        <w:t>Έβδομον</w:t>
      </w:r>
      <w:proofErr w:type="spellEnd"/>
      <w:r w:rsidRPr="000F3293">
        <w:rPr>
          <w:rFonts w:cs="Times New Roman"/>
        </w:rPr>
        <w:t xml:space="preserve">, τα ευρήματα οδηγούν και σε μια πιο σύνθετη κατανόηση της πολιτιστικής διπλωματίας. Συχνά η πολιτιστική διπλωματία νοείται ως διακρατική διαπραγμάτευση, συναντήσεις υπουργών ή παρεμβάσεις διεθνών οργανισμών. Εδώ προκύπτει ότι σημαντικό μέρος της διπλωματίας παράγεται εντός των μουσείων. Το Μουσείο Ακρόπολης ασκεί πολιτιστική διπλωματία μέσα από την έκθεση και τις τελετές επανένωσης. Το Βρετανικό Μουσείο ασκεί πολιτιστική διπλωματία μέσα από την έννοια της εταιρικής σχέσης, τις επαγγελματικές σχέσεις και τη ρητορική της συμπληρωματικότητας. Το </w:t>
      </w:r>
      <w:r w:rsidRPr="000F3293">
        <w:rPr>
          <w:rFonts w:cs="Times New Roman"/>
          <w:lang w:val="en-US"/>
        </w:rPr>
        <w:t>Horniman</w:t>
      </w:r>
      <w:r w:rsidRPr="000F3293">
        <w:rPr>
          <w:rFonts w:cs="Times New Roman"/>
        </w:rPr>
        <w:t xml:space="preserve"> ασκεί πολιτιστική διπλωματία μέσα από </w:t>
      </w:r>
      <w:r w:rsidRPr="000F3293">
        <w:rPr>
          <w:rFonts w:cs="Times New Roman"/>
        </w:rPr>
        <w:lastRenderedPageBreak/>
        <w:t>τη συνεργασία με την Εθνική Επιτροπή Μουσείων και Μνημείων της Νιγηρίας, τη διαβούλευση με τη διασπορά και τη διατήρηση αντικειμένων σε δάνειο μετά την επιστροφή. Συνεπώς, τα μουσεία είναι ενεργοί διπλωματικοί φορείς, όχι απλοί δέκτες πολιτικών που διαμορφώνονται αλλού.</w:t>
      </w:r>
    </w:p>
    <w:p w14:paraId="6AB6A281" w14:textId="77777777" w:rsidR="0088691E" w:rsidRPr="000F3293" w:rsidRDefault="0088691E" w:rsidP="0088691E">
      <w:pPr>
        <w:spacing w:after="120" w:line="360" w:lineRule="auto"/>
        <w:ind w:firstLine="720"/>
        <w:jc w:val="both"/>
        <w:rPr>
          <w:rFonts w:cs="Times New Roman"/>
        </w:rPr>
      </w:pPr>
      <w:proofErr w:type="spellStart"/>
      <w:r w:rsidRPr="000F3293">
        <w:rPr>
          <w:rFonts w:cs="Times New Roman"/>
        </w:rPr>
        <w:t>Όγδοον</w:t>
      </w:r>
      <w:proofErr w:type="spellEnd"/>
      <w:r w:rsidRPr="000F3293">
        <w:rPr>
          <w:rFonts w:cs="Times New Roman"/>
        </w:rPr>
        <w:t xml:space="preserve">, η ανάλυση δείχνει ότι η δημόσια συζήτηση για τα αμφισβητούμενα αντικείμενα βρίσκεται σε μεταβατική φάση. Το μοντέλο του Βρετανικού Μουσείου εξακολουθεί να είναι ισχυρό, ιδίως όταν υποστηρίζεται από νομοθετική αδράνεια και από την παράδοση του οικουμενικού μουσείου. Ωστόσο, η επιτυχία του </w:t>
      </w:r>
      <w:r w:rsidRPr="000F3293">
        <w:rPr>
          <w:rFonts w:cs="Times New Roman"/>
          <w:lang w:val="en-US"/>
        </w:rPr>
        <w:t>Horniman</w:t>
      </w:r>
      <w:r w:rsidRPr="000F3293">
        <w:rPr>
          <w:rFonts w:cs="Times New Roman"/>
        </w:rPr>
        <w:t xml:space="preserve"> και η συμβολική λειτουργία του Μουσείου Ακρόπολης δείχνουν ότι η παλαιά βεβαιότητα περί μονιμότητας της κατοχής έχει ρωγμές. Η μεταφορά κυριότητας σε περιπτώσεις όπως του Μπενίν, σε συνδυασμό με τις επανενώσεις θραυσμάτων του Παρθενώνα από άλλα ιδρύματα, δημιουργεί ένα νέο τοπίο στο οποίο η απόλυτη ακινησία γίνεται όλο και πιο δύσκολο να υπερασπιστεί κανείς αποκλειστικά με ηθικούς όρους (</w:t>
      </w:r>
      <w:r w:rsidRPr="000F3293">
        <w:rPr>
          <w:rFonts w:cs="Times New Roman"/>
          <w:lang w:val="en-US"/>
        </w:rPr>
        <w:t>Savoy</w:t>
      </w:r>
      <w:r w:rsidRPr="000F3293">
        <w:rPr>
          <w:rFonts w:cs="Times New Roman"/>
        </w:rPr>
        <w:t xml:space="preserve">, 2022, </w:t>
      </w:r>
      <w:r w:rsidRPr="000F3293">
        <w:rPr>
          <w:rFonts w:cs="Times New Roman"/>
          <w:lang w:val="en-US"/>
        </w:rPr>
        <w:t>Stahn</w:t>
      </w:r>
      <w:r w:rsidRPr="000F3293">
        <w:rPr>
          <w:rFonts w:cs="Times New Roman"/>
        </w:rPr>
        <w:t xml:space="preserve">, 2022, </w:t>
      </w:r>
      <w:r w:rsidRPr="000F3293">
        <w:rPr>
          <w:rFonts w:cs="Times New Roman"/>
          <w:lang w:val="en-US"/>
        </w:rPr>
        <w:t>Merriman</w:t>
      </w:r>
      <w:r w:rsidRPr="000F3293">
        <w:rPr>
          <w:rFonts w:cs="Times New Roman"/>
        </w:rPr>
        <w:t>, 2024).</w:t>
      </w:r>
    </w:p>
    <w:p w14:paraId="7B851EBA" w14:textId="77777777" w:rsidR="0088691E" w:rsidRPr="000F3293" w:rsidRDefault="0088691E" w:rsidP="0088691E">
      <w:pPr>
        <w:spacing w:after="120" w:line="360" w:lineRule="auto"/>
        <w:ind w:firstLine="720"/>
        <w:jc w:val="both"/>
        <w:rPr>
          <w:rFonts w:cs="Times New Roman"/>
        </w:rPr>
      </w:pPr>
      <w:r w:rsidRPr="000F3293">
        <w:rPr>
          <w:rFonts w:cs="Times New Roman"/>
        </w:rPr>
        <w:t xml:space="preserve">Τελικά, η κεντρική ερμηνευτική πρόταση που προκύπτει από αυτή τη συζήτηση είναι ότι το μέλλον των επιστροφών θα εξαρτηθεί από τη δυνατότητα μετάβασης από τη λογική της αντιπαράθεσης στη λογική της διακυβέρνησης. Το Μουσείο Ακρόπολης έχει ήδη οικοδομήσει το χωρικό και ερμηνευτικό υπόβαθρο για μια τέτοια μετάβαση. Το </w:t>
      </w:r>
      <w:r w:rsidRPr="000F3293">
        <w:rPr>
          <w:rFonts w:cs="Times New Roman"/>
          <w:lang w:val="en-US"/>
        </w:rPr>
        <w:t>Horniman</w:t>
      </w:r>
      <w:r w:rsidRPr="000F3293">
        <w:rPr>
          <w:rFonts w:cs="Times New Roman"/>
        </w:rPr>
        <w:t xml:space="preserve"> έχει δείξει ένα εφαρμόσιμο πρωτόκολλο. Το Βρετανικό Μουσείο παραμένει ο χώρος όπου αυτή η μετάβαση δεν έχει ακόμη συντελεστεί. Ακριβώς γι’ αυτό η υπόθεση του Παρθενώνα παραμένει η πιο δύσκολη και, ταυτόχρονα, η πιο διδακτική. Δεν λείπουν μόνο τα γλυπτά. Λείπει ακόμη ο θεσμικός μηχανισμός που θα μετέτρεπε την ηθική πίεση σε διοικητική και πολιτική πράξη.</w:t>
      </w:r>
    </w:p>
    <w:p w14:paraId="3CF8CD0B" w14:textId="77777777" w:rsidR="0088691E" w:rsidRPr="000F3293" w:rsidRDefault="0088691E" w:rsidP="0088691E">
      <w:pPr>
        <w:spacing w:after="120" w:line="360" w:lineRule="auto"/>
        <w:ind w:firstLine="720"/>
        <w:jc w:val="both"/>
        <w:rPr>
          <w:rFonts w:cs="Times New Roman"/>
        </w:rPr>
      </w:pPr>
      <w:r w:rsidRPr="000F3293">
        <w:rPr>
          <w:rFonts w:cs="Times New Roman"/>
        </w:rPr>
        <w:t xml:space="preserve">Ένα ακόμη ουσιώδες εύρημα αφορά τη </w:t>
      </w:r>
      <w:proofErr w:type="spellStart"/>
      <w:r w:rsidRPr="000F3293">
        <w:rPr>
          <w:rFonts w:cs="Times New Roman"/>
        </w:rPr>
        <w:t>χρονικότητα</w:t>
      </w:r>
      <w:proofErr w:type="spellEnd"/>
      <w:r w:rsidRPr="000F3293">
        <w:rPr>
          <w:rFonts w:cs="Times New Roman"/>
        </w:rPr>
        <w:t xml:space="preserve"> των υποθέσεων. Στην Ακρόπολη η στρατηγική είναι σωρευτική και μακράς διάρκειας. Κάθε επιστροφή μικρού θραύσματος, κάθε τελετή και κάθε νέα αναφορά στην επανένωση εντάσσεται σε ένα μακρύ συνεχές, όπου η τελική λύση παραμένει στο μέλλον αλλά η πίεση παράγεται στο παρόν. Στο Βρετανικό Μουσείο η </w:t>
      </w:r>
      <w:proofErr w:type="spellStart"/>
      <w:r w:rsidRPr="000F3293">
        <w:rPr>
          <w:rFonts w:cs="Times New Roman"/>
        </w:rPr>
        <w:t>χρονικότητα</w:t>
      </w:r>
      <w:proofErr w:type="spellEnd"/>
      <w:r w:rsidRPr="000F3293">
        <w:rPr>
          <w:rFonts w:cs="Times New Roman"/>
        </w:rPr>
        <w:t xml:space="preserve"> είναι αναβλητική. Οι συζητήσεις ανανεώνονται, οι σχέσεις δηλώνονται καλές, αλλά η απουσία νομοθετικής κίνησης διατηρεί το ζήτημα σε κατάσταση ελεγχόμενης εκκρεμότητας. Στο </w:t>
      </w:r>
      <w:r w:rsidRPr="000F3293">
        <w:rPr>
          <w:rFonts w:cs="Times New Roman"/>
          <w:lang w:val="en-US"/>
        </w:rPr>
        <w:t>Horniman</w:t>
      </w:r>
      <w:r w:rsidRPr="000F3293">
        <w:rPr>
          <w:rFonts w:cs="Times New Roman"/>
        </w:rPr>
        <w:t xml:space="preserve"> η </w:t>
      </w:r>
      <w:proofErr w:type="spellStart"/>
      <w:r w:rsidRPr="000F3293">
        <w:rPr>
          <w:rFonts w:cs="Times New Roman"/>
        </w:rPr>
        <w:t>χρονικότητα</w:t>
      </w:r>
      <w:proofErr w:type="spellEnd"/>
      <w:r w:rsidRPr="000F3293">
        <w:rPr>
          <w:rFonts w:cs="Times New Roman"/>
        </w:rPr>
        <w:t xml:space="preserve"> είναι διαδικαστική. Υπάρχει σαφής ακολουθία, διαβούλευση, πολιτική, αίτημα, έρευνα, απόφαση διοικητικού συμβουλίου, κανονιστική έγκριση, μεταβίβαση, </w:t>
      </w:r>
      <w:r w:rsidRPr="000F3293">
        <w:rPr>
          <w:rFonts w:cs="Times New Roman"/>
        </w:rPr>
        <w:lastRenderedPageBreak/>
        <w:t xml:space="preserve">επιστροφή, δανεισμός, </w:t>
      </w:r>
      <w:proofErr w:type="spellStart"/>
      <w:r w:rsidRPr="000F3293">
        <w:rPr>
          <w:rFonts w:cs="Times New Roman"/>
        </w:rPr>
        <w:t>επανέκθεση</w:t>
      </w:r>
      <w:proofErr w:type="spellEnd"/>
      <w:r w:rsidRPr="000F3293">
        <w:rPr>
          <w:rFonts w:cs="Times New Roman"/>
        </w:rPr>
        <w:t xml:space="preserve">. Η διαφοροποίηση αυτή έχει σημασία, διότι δείχνει ότι οι επιστροφές δεν είναι απλώς διαφορετικά αποτελέσματα αλλά διαφορετικοί χρόνοι διακυβέρνησης. Η ελληνική υπόθεση παραμένει ιστορικά και συμβολικά εξαιρετικά ισχυρή, αλλά στερείται ακόμη ενός πρωτοκόλλου μετάβασης αντίστοιχου με εκείνο που μπόρεσε να συγκροτήσει το </w:t>
      </w:r>
      <w:r w:rsidRPr="000F3293">
        <w:rPr>
          <w:rFonts w:cs="Times New Roman"/>
          <w:lang w:val="en-US"/>
        </w:rPr>
        <w:t>Horniman</w:t>
      </w:r>
      <w:r w:rsidRPr="000F3293">
        <w:rPr>
          <w:rFonts w:cs="Times New Roman"/>
        </w:rPr>
        <w:t>.</w:t>
      </w:r>
    </w:p>
    <w:p w14:paraId="2FDEE20F" w14:textId="20BCDBBC" w:rsidR="0088691E" w:rsidRPr="000F3293" w:rsidRDefault="003E4BA9" w:rsidP="0088691E">
      <w:pPr>
        <w:spacing w:after="120" w:line="360" w:lineRule="auto"/>
        <w:ind w:firstLine="720"/>
        <w:jc w:val="both"/>
        <w:rPr>
          <w:rFonts w:cs="Times New Roman"/>
        </w:rPr>
      </w:pPr>
      <w:r w:rsidRPr="000F3293">
        <w:rPr>
          <w:rFonts w:cs="Times New Roman"/>
        </w:rPr>
        <w:t>Η</w:t>
      </w:r>
      <w:r w:rsidR="0088691E" w:rsidRPr="000F3293">
        <w:rPr>
          <w:rFonts w:cs="Times New Roman"/>
        </w:rPr>
        <w:t xml:space="preserve"> σύγκριση </w:t>
      </w:r>
      <w:r w:rsidRPr="000F3293">
        <w:rPr>
          <w:rFonts w:cs="Times New Roman"/>
        </w:rPr>
        <w:t>φώτισε</w:t>
      </w:r>
      <w:r w:rsidR="0088691E" w:rsidRPr="000F3293">
        <w:rPr>
          <w:rFonts w:cs="Times New Roman"/>
        </w:rPr>
        <w:t xml:space="preserve"> και το ζήτημα της αυθεντίας στην ερμηνεία. Ποιος αφηγείται πειστικότερα την ιστορία των αντικειμένων, ο θεσμός που τα κατέχει σήμερα ή ο θεσμός που τα εντάσσει εκ νέου στον τόπο και στο ιστορικό τους πλαίσιο; Στην Ακρόπολη, η αυθεντία αντλείται από τον τόπο, τη μνημειακή συνοχή και την υλικότητα του περιβάλλοντος. Στο Βρετανικό Μουσείο, αντλείται από τη μακρά θεσμική διάρκεια, την εγκυκλοπαιδική συλλογή και την παγκόσμια </w:t>
      </w:r>
      <w:proofErr w:type="spellStart"/>
      <w:r w:rsidR="0088691E" w:rsidRPr="000F3293">
        <w:rPr>
          <w:rFonts w:cs="Times New Roman"/>
        </w:rPr>
        <w:t>επισκεψιμότητα</w:t>
      </w:r>
      <w:proofErr w:type="spellEnd"/>
      <w:r w:rsidR="0088691E" w:rsidRPr="000F3293">
        <w:rPr>
          <w:rFonts w:cs="Times New Roman"/>
        </w:rPr>
        <w:t xml:space="preserve">. Στο </w:t>
      </w:r>
      <w:r w:rsidR="0088691E" w:rsidRPr="000F3293">
        <w:rPr>
          <w:rFonts w:cs="Times New Roman"/>
          <w:lang w:val="en-US"/>
        </w:rPr>
        <w:t>Horniman</w:t>
      </w:r>
      <w:r w:rsidR="0088691E" w:rsidRPr="000F3293">
        <w:rPr>
          <w:rFonts w:cs="Times New Roman"/>
        </w:rPr>
        <w:t xml:space="preserve">, ανασυντίθεται μέσα από την παραδοχή ότι η αυθεντία δεν είναι δικαίωμα κατοχής αλλά σχέση λογοδοσίας απέναντι στην ιστορία, στις κοινότητες και στο ίδιο το κοινό. Από αυτή την οπτική, η αποκατάσταση δεν είναι απλώς αλλαγή ιδιοκτησίας. Είναι και αναδιανομή ερμηνευτικής αυθεντίας. Και αυτό ακριβώς εξηγεί γιατί οι υποθέσεις αυτές προκαλούν τόσο έντονες αντιστάσεις αλλά και τόσο έντονο δημόσιο ενδιαφέρον. </w:t>
      </w:r>
    </w:p>
    <w:p w14:paraId="769A891C" w14:textId="1B3ABD63" w:rsidR="003E4BA9" w:rsidRPr="000F3293" w:rsidRDefault="003E4BA9" w:rsidP="003E4BA9">
      <w:pPr>
        <w:spacing w:line="360" w:lineRule="auto"/>
        <w:ind w:firstLine="720"/>
        <w:jc w:val="both"/>
      </w:pPr>
      <w:r w:rsidRPr="000F3293">
        <w:t>Σε σύνδεση με τις διεθνείς συμβάσεις που αναλύθηκαν στο θεωρητικό μέρος, αξίζει να υπογραμμιστεί ότι η άρνηση του Ηνωμένου Βασιλείου να κυρώσει τη Σύμβαση της UNIDROIT του 1995 δεν αποτελεί μεμονωμένη επιλογή, αλλά συνδέεται με μια γενικότερη τάση, ιδίως των κρατικών βρετανικών μουσείων, να διατηρούν αμφισβητούμενες αρχαιότητες. Πολλά κρατικά μουσεία σε ολόκληρη τη Βρετανία κατέχουν αντικείμενα τα οποία άλλες χώρες έχουν διεκδικήσει ή θα ήθελαν να διεκδικήσουν, και το ισχύον νομοθετικό πλαίσιο, σε συνδυασμό με τη μη κύρωση της UNIDROIT, λειτουργεί ως θεσμική ασπίδα έναντι τέτοιων αιτημάτων. Υπό αυτή την έννοια, η περίπτωση των Γλυπτών του Παρθενώνα δεν είναι απομονωμένη, αλλά εντάσσεται σε ένα ευρύτερο πρότυπο θεσμικής αντίστασης στην επιστροφή.</w:t>
      </w:r>
    </w:p>
    <w:p w14:paraId="218AE34C" w14:textId="2E9E6813" w:rsidR="003E4BA9" w:rsidRPr="000F3293" w:rsidRDefault="003E4BA9" w:rsidP="003E4BA9">
      <w:pPr>
        <w:spacing w:line="360" w:lineRule="auto"/>
        <w:ind w:firstLine="720"/>
        <w:jc w:val="both"/>
      </w:pPr>
      <w:r w:rsidRPr="000F3293">
        <w:t xml:space="preserve">Τέλος, επιστρέφοντας πιο άμεσα στις θεωρητικές προσεγγίσεις που αναπτύχθηκαν στην </w:t>
      </w:r>
      <w:proofErr w:type="spellStart"/>
      <w:r w:rsidRPr="000F3293">
        <w:t>υποενότητα</w:t>
      </w:r>
      <w:proofErr w:type="spellEnd"/>
      <w:r w:rsidRPr="000F3293">
        <w:t xml:space="preserve"> για τις θεωρητικές σχολές, οι τρεις περιπτώσεις επιβεβαιώνουν τη χρησιμότητα του </w:t>
      </w:r>
      <w:proofErr w:type="spellStart"/>
      <w:r w:rsidRPr="000F3293">
        <w:t>διπόλου</w:t>
      </w:r>
      <w:proofErr w:type="spellEnd"/>
      <w:r w:rsidRPr="000F3293">
        <w:t xml:space="preserve"> μεταξύ πολιτιστικού εθνικισμού και πολιτιστικού διεθνισμού. Το Μουσείο Ακρόπολης εκφράζει μια εκδοχή πολιτιστικού εθνικισμού που νομιμοποιείται διεθνώς μέσω της ακεραιότητας του μνημείου, το Βρετανικό Μουσείο εκπροσωπεί τη διεθνιστική λογική του οικουμενικού </w:t>
      </w:r>
      <w:r w:rsidRPr="000F3293">
        <w:lastRenderedPageBreak/>
        <w:t xml:space="preserve">μουσείου, ενώ το </w:t>
      </w:r>
      <w:proofErr w:type="spellStart"/>
      <w:r w:rsidRPr="000F3293">
        <w:t>Horniman</w:t>
      </w:r>
      <w:proofErr w:type="spellEnd"/>
      <w:r w:rsidRPr="000F3293">
        <w:t xml:space="preserve"> κινείται σε μια υβριδική ζώνη ηθικής επανόρθωσης. Παράλληλα, η αντιπαράθεση ανάμεσα στις προσεγγίσεις των </w:t>
      </w:r>
      <w:proofErr w:type="spellStart"/>
      <w:r w:rsidRPr="000F3293">
        <w:t>Colin</w:t>
      </w:r>
      <w:proofErr w:type="spellEnd"/>
      <w:r w:rsidRPr="000F3293">
        <w:t xml:space="preserve"> </w:t>
      </w:r>
      <w:proofErr w:type="spellStart"/>
      <w:r w:rsidRPr="000F3293">
        <w:t>Renfrew</w:t>
      </w:r>
      <w:proofErr w:type="spellEnd"/>
      <w:r w:rsidRPr="000F3293">
        <w:t xml:space="preserve"> και </w:t>
      </w:r>
      <w:proofErr w:type="spellStart"/>
      <w:r w:rsidRPr="000F3293">
        <w:t>John</w:t>
      </w:r>
      <w:proofErr w:type="spellEnd"/>
      <w:r w:rsidRPr="000F3293">
        <w:t xml:space="preserve"> </w:t>
      </w:r>
      <w:proofErr w:type="spellStart"/>
      <w:r w:rsidRPr="000F3293">
        <w:t>Boardman</w:t>
      </w:r>
      <w:proofErr w:type="spellEnd"/>
      <w:r w:rsidRPr="000F3293">
        <w:t>, για τη σχέση αγοράς, αρχαιοκαπηλίας και προστασίας του αρχαιολογικού πλαισίου, παραμένει χρήσιμη για την ερμηνεία των τριών παραδειγμάτων, καθώς αναδεικνύει ότι διαφορετικές ιεραρχήσεις αξιών εμφανίζονται ακόμη και εντός του ίδιου του επιστημονικού πεδίου.</w:t>
      </w:r>
    </w:p>
    <w:p w14:paraId="527834C5" w14:textId="683E9247" w:rsidR="000B0296" w:rsidRPr="000F3293" w:rsidRDefault="000B0296" w:rsidP="0088691E">
      <w:pPr>
        <w:spacing w:after="120" w:line="360" w:lineRule="auto"/>
        <w:jc w:val="both"/>
        <w:rPr>
          <w:rFonts w:cs="Times New Roman"/>
        </w:rPr>
      </w:pPr>
    </w:p>
    <w:p w14:paraId="688D473A" w14:textId="77777777" w:rsidR="000B0296" w:rsidRPr="000F3293" w:rsidRDefault="000B0296">
      <w:pPr>
        <w:rPr>
          <w:rFonts w:cs="Times New Roman"/>
        </w:rPr>
      </w:pPr>
    </w:p>
    <w:p w14:paraId="0EF257DC" w14:textId="77777777" w:rsidR="000B0296" w:rsidRPr="000F3293" w:rsidRDefault="000B0296">
      <w:pPr>
        <w:rPr>
          <w:rFonts w:cs="Times New Roman"/>
        </w:rPr>
      </w:pPr>
    </w:p>
    <w:p w14:paraId="022159F5" w14:textId="77777777" w:rsidR="000B0296" w:rsidRPr="000F3293" w:rsidRDefault="00CF49B3">
      <w:pPr>
        <w:rPr>
          <w:rFonts w:cs="Times New Roman"/>
        </w:rPr>
      </w:pPr>
      <w:r w:rsidRPr="000F3293">
        <w:rPr>
          <w:rFonts w:cs="Times New Roman"/>
        </w:rPr>
        <w:br w:type="page"/>
      </w:r>
    </w:p>
    <w:p w14:paraId="5484C6F9" w14:textId="0F1D212B" w:rsidR="000B0296" w:rsidRPr="000F3293" w:rsidRDefault="003E4BA9" w:rsidP="001358B2">
      <w:pPr>
        <w:pStyle w:val="1"/>
      </w:pPr>
      <w:bookmarkStart w:id="37" w:name="_Toc233154589"/>
      <w:r w:rsidRPr="000F3293">
        <w:lastRenderedPageBreak/>
        <w:t>Επίλογος</w:t>
      </w:r>
      <w:bookmarkEnd w:id="37"/>
    </w:p>
    <w:p w14:paraId="7975D3DA" w14:textId="77777777" w:rsidR="006E4573" w:rsidRPr="000F3293" w:rsidRDefault="006E4573" w:rsidP="006E4573">
      <w:pPr>
        <w:spacing w:line="360" w:lineRule="auto"/>
        <w:jc w:val="both"/>
        <w:rPr>
          <w:rFonts w:cs="Times New Roman"/>
        </w:rPr>
      </w:pPr>
      <w:r w:rsidRPr="000F3293">
        <w:rPr>
          <w:rFonts w:cs="Times New Roman"/>
        </w:rPr>
        <w:t xml:space="preserve">Η παρούσα συγκριτική ανάλυση οδήγησε σε ένα κεντρικό συμπέρασμα. Τα μουσεία δεν είναι ουδέτεροι χώροι φύλαξης αντικειμένων, αλλά θεσμοί που παράγουν κανονιστικές θέσεις για το παρελθόν, την ιδιοκτησία, τη δημόσια γνώση και τη διεθνή πολιτιστική δικαιοσύνη. Το Μουσείο Ακρόπολης, το Βρετανικό Μουσείο και το Μουσείο </w:t>
      </w:r>
      <w:r w:rsidRPr="000F3293">
        <w:rPr>
          <w:rFonts w:cs="Times New Roman"/>
          <w:lang w:val="en-US"/>
        </w:rPr>
        <w:t>Horniman</w:t>
      </w:r>
      <w:r w:rsidRPr="000F3293">
        <w:rPr>
          <w:rFonts w:cs="Times New Roman"/>
        </w:rPr>
        <w:t xml:space="preserve"> συγκροτούν τρεις διαφορετικές εκδοχές αυτής της θεσμικής λειτουργίας. Το πρώτο λειτουργεί ως μουσείο επανένωσης και ως χωρικό επιχείρημα υπέρ της αποκατάστασης της μνημειακής ακεραιότητας. Το δεύτερο λειτουργεί ως μουσείο κατοχής και παγκόσμιας ερμηνευτικής κυριαρχίας, όπου η διατήρηση αμφισβητούμενων αντικειμένων μετατρέπεται σε δημόσιο όφελος μέσω της γλώσσας του οικουμενικού μουσείου. Το τρίτο λειτουργεί ως μουσείο θεσμικής επανόρθωσης, όπου η επιστροφή μπορεί να αποτελέσει όχι ρήξη με τη μουσειακή αποστολή αλλά ανανέωσή της (</w:t>
      </w:r>
      <w:r w:rsidRPr="000F3293">
        <w:rPr>
          <w:rFonts w:cs="Times New Roman"/>
          <w:lang w:val="en-US"/>
        </w:rPr>
        <w:t>Acropolis</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a</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xml:space="preserve">, </w:t>
      </w:r>
      <w:r w:rsidRPr="000F3293">
        <w:rPr>
          <w:rFonts w:cs="Times New Roman"/>
          <w:lang w:val="en-US"/>
        </w:rPr>
        <w:t>British</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n</w:t>
      </w:r>
      <w:r w:rsidRPr="000F3293">
        <w:rPr>
          <w:rFonts w:cs="Times New Roman"/>
        </w:rPr>
        <w:t>.</w:t>
      </w:r>
      <w:r w:rsidRPr="000F3293">
        <w:rPr>
          <w:rFonts w:cs="Times New Roman"/>
          <w:lang w:val="en-US"/>
        </w:rPr>
        <w:t>d</w:t>
      </w:r>
      <w:r w:rsidRPr="000F3293">
        <w:rPr>
          <w:rFonts w:cs="Times New Roman"/>
        </w:rPr>
        <w:t>.-</w:t>
      </w:r>
      <w:r w:rsidRPr="000F3293">
        <w:rPr>
          <w:rFonts w:cs="Times New Roman"/>
          <w:lang w:val="en-US"/>
        </w:rPr>
        <w:t>c</w:t>
      </w:r>
      <w:r w:rsidRPr="000F3293">
        <w:rPr>
          <w:rFonts w:cs="Times New Roman"/>
        </w:rPr>
        <w:t xml:space="preserve">, </w:t>
      </w:r>
      <w:r w:rsidRPr="000F3293">
        <w:rPr>
          <w:rFonts w:cs="Times New Roman"/>
          <w:lang w:val="en-US"/>
        </w:rPr>
        <w:t>Horniman</w:t>
      </w:r>
      <w:r w:rsidRPr="000F3293">
        <w:rPr>
          <w:rFonts w:cs="Times New Roman"/>
        </w:rPr>
        <w:t xml:space="preserve"> </w:t>
      </w:r>
      <w:r w:rsidRPr="000F3293">
        <w:rPr>
          <w:rFonts w:cs="Times New Roman"/>
          <w:lang w:val="en-US"/>
        </w:rPr>
        <w:t>Museum</w:t>
      </w:r>
      <w:r w:rsidRPr="000F3293">
        <w:rPr>
          <w:rFonts w:cs="Times New Roman"/>
        </w:rPr>
        <w:t xml:space="preserve"> </w:t>
      </w:r>
      <w:r w:rsidRPr="000F3293">
        <w:rPr>
          <w:rFonts w:cs="Times New Roman"/>
          <w:lang w:val="en-US"/>
        </w:rPr>
        <w:t>and</w:t>
      </w:r>
      <w:r w:rsidRPr="000F3293">
        <w:rPr>
          <w:rFonts w:cs="Times New Roman"/>
        </w:rPr>
        <w:t xml:space="preserve"> </w:t>
      </w:r>
      <w:r w:rsidRPr="000F3293">
        <w:rPr>
          <w:rFonts w:cs="Times New Roman"/>
          <w:lang w:val="en-US"/>
        </w:rPr>
        <w:t>Gardens</w:t>
      </w:r>
      <w:r w:rsidRPr="000F3293">
        <w:rPr>
          <w:rFonts w:cs="Times New Roman"/>
        </w:rPr>
        <w:t>, 2022</w:t>
      </w:r>
      <w:r w:rsidRPr="000F3293">
        <w:rPr>
          <w:rFonts w:cs="Times New Roman"/>
          <w:lang w:val="en-US"/>
        </w:rPr>
        <w:t>a</w:t>
      </w:r>
      <w:r w:rsidRPr="000F3293">
        <w:rPr>
          <w:rFonts w:cs="Times New Roman"/>
        </w:rPr>
        <w:t xml:space="preserve">, </w:t>
      </w:r>
      <w:r w:rsidRPr="000F3293">
        <w:rPr>
          <w:rFonts w:cs="Times New Roman"/>
          <w:lang w:val="en-US"/>
        </w:rPr>
        <w:t>Merriman</w:t>
      </w:r>
      <w:r w:rsidRPr="000F3293">
        <w:rPr>
          <w:rFonts w:cs="Times New Roman"/>
        </w:rPr>
        <w:t>, 2024).</w:t>
      </w:r>
    </w:p>
    <w:p w14:paraId="384D565F" w14:textId="77777777" w:rsidR="006E4573" w:rsidRPr="000F3293" w:rsidRDefault="006E4573" w:rsidP="006E4573">
      <w:pPr>
        <w:spacing w:line="360" w:lineRule="auto"/>
        <w:ind w:firstLine="720"/>
        <w:jc w:val="both"/>
        <w:rPr>
          <w:rFonts w:cs="Times New Roman"/>
        </w:rPr>
      </w:pPr>
      <w:r w:rsidRPr="000F3293">
        <w:rPr>
          <w:rFonts w:cs="Times New Roman"/>
        </w:rPr>
        <w:t xml:space="preserve">Πρώτο ειδικό συμπέρασμα είναι ότι η μορφή διοίκησης έχει αποφασιστική σημασία για την πορεία των αιτημάτων. Το Μουσείο Ακρόπολης, ως ειδικού σκοπού δημόσιος θεσμός, ενσωματώνει στη νομική του φυσιογνωμία την αποστολή συγκέντρωσης και παρουσίασης των μνημείων της Ακρόπολης. Το Βρετανικό Μουσείο, με το καθεστώς των Επιτρόπων και τη νομική θωράκιση του Νόμου περί Βρετανικού Μουσείου του 1963, διαθέτει ένα ισχυρό φίλτρο θεσμικής αδράνειας, το οποίο επιτρέπει στην κατοχή να εμφανίζεται ως η μόνη διοικητικά συνεπής επιλογή. Το </w:t>
      </w:r>
      <w:r w:rsidRPr="000F3293">
        <w:rPr>
          <w:rFonts w:cs="Times New Roman"/>
          <w:lang w:val="en-US"/>
        </w:rPr>
        <w:t>Horniman</w:t>
      </w:r>
      <w:r w:rsidRPr="000F3293">
        <w:rPr>
          <w:rFonts w:cs="Times New Roman"/>
        </w:rPr>
        <w:t>, ακριβώς επειδή ανέπτυξε πολιτική, διαβούλευση και διαδικασία εξέτασης κάθε περίπτωσης χωριστά, απέδειξε ότι η θεσμική ευελιξία μπορεί να μετατρέψει την ηθική πίεση σε εφαρμόσιμη πράξη. Άρα, η διοικητική αρχιτεκτονική δεν είναι τεχνικό ζήτημα. Είναι μέρος της ίδιας της πολιτικής της επιστροφής.</w:t>
      </w:r>
    </w:p>
    <w:p w14:paraId="09F73DE0" w14:textId="77777777" w:rsidR="006E4573" w:rsidRPr="000F3293" w:rsidRDefault="006E4573" w:rsidP="006E4573">
      <w:pPr>
        <w:spacing w:line="360" w:lineRule="auto"/>
        <w:ind w:firstLine="720"/>
        <w:jc w:val="both"/>
        <w:rPr>
          <w:rFonts w:cs="Times New Roman"/>
        </w:rPr>
      </w:pPr>
      <w:r w:rsidRPr="000F3293">
        <w:rPr>
          <w:rFonts w:cs="Times New Roman"/>
        </w:rPr>
        <w:t xml:space="preserve">Δεύτερο συμπέρασμα είναι ότι το δίκαιο λειτουργεί ταυτόχρονα ως όριο και ως εργαλείο. Στην περίπτωση του Παρθενώνα, η μη αναδρομικότητα των διεθνών συμβάσεων και η εμμονή του βρετανικού θεσμικού πλαισίου σε παλαιότερες μορφές νομιμοποίησης καθιστούν το πρόβλημα δυσχερές. Όμως η ανάλυση έδειξε επίσης ότι το δίκαιο δεν είναι από τη φύση του ανασταλτικό. Στην περίπτωση του </w:t>
      </w:r>
      <w:r w:rsidRPr="000F3293">
        <w:rPr>
          <w:rFonts w:cs="Times New Roman"/>
          <w:lang w:val="en-US"/>
        </w:rPr>
        <w:t>Horniman</w:t>
      </w:r>
      <w:r w:rsidRPr="000F3293">
        <w:rPr>
          <w:rFonts w:cs="Times New Roman"/>
        </w:rPr>
        <w:t xml:space="preserve">, η προσφυγή στη Φιλανθρωπική Επιτροπή και η διατύπωση της ηθικής υποχρέωσης αναδεικνύουν πώς το ρυθμιστικό πλαίσιο μπορεί να </w:t>
      </w:r>
      <w:r w:rsidRPr="000F3293">
        <w:rPr>
          <w:rFonts w:cs="Times New Roman"/>
        </w:rPr>
        <w:lastRenderedPageBreak/>
        <w:t>διευκολύνει και όχι να ακυρώνει την επιστροφή. Το συμπέρασμα αυτό είναι σημαντικό για τη μελλοντική έρευνα και πολιτική πρακτική. Το πρόβλημα δεν είναι μόνο η ύπαρξη ή η απουσία νόμου. Είναι η ερμηνεία, η πολιτική βούληση και η θεσμική δημιουργικότητα με την οποία ενεργοποιείται.</w:t>
      </w:r>
    </w:p>
    <w:p w14:paraId="6D0D792A" w14:textId="77777777" w:rsidR="006E4573" w:rsidRPr="000F3293" w:rsidRDefault="006E4573" w:rsidP="006E4573">
      <w:pPr>
        <w:spacing w:line="360" w:lineRule="auto"/>
        <w:ind w:firstLine="720"/>
        <w:jc w:val="both"/>
        <w:rPr>
          <w:rFonts w:cs="Times New Roman"/>
        </w:rPr>
      </w:pPr>
      <w:r w:rsidRPr="000F3293">
        <w:rPr>
          <w:rFonts w:cs="Times New Roman"/>
        </w:rPr>
        <w:t xml:space="preserve">Τρίτο συμπέρασμα αφορά τη δύναμη της μουσειακής επικοινωνίας. Η μελέτη έδειξε ότι τα δελτία Τύπου, οι επίσημες σελίδες, οι ετήσιες αναφορές και τα βίντεο δεν λειτουργούν ως απλά βοηθητικά υλικά. Αποτελούν πρωτογενείς μηχανισμούς διαμόρφωσης του νοήματος. Το Μουσείο Ακρόπολης χρησιμοποιεί την ίδια την αρχιτεκτονική του και τη γλώσσα της επανένωσης για να καθιστά το αίτημα άμεσα αντιληπτό. Το Βρετανικό Μουσείο χρησιμοποιεί τη γλώσσα της συμπληρωματικότητας και του δημόσιου οφέλους για να μετατρέπει τη διαίρεση σε φαινομενικά φυσική και παιδευτικά χρήσιμη κατάσταση. Το </w:t>
      </w:r>
      <w:r w:rsidRPr="000F3293">
        <w:rPr>
          <w:rFonts w:cs="Times New Roman"/>
          <w:lang w:val="en-US"/>
        </w:rPr>
        <w:t>Horniman</w:t>
      </w:r>
      <w:r w:rsidRPr="000F3293">
        <w:rPr>
          <w:rFonts w:cs="Times New Roman"/>
        </w:rPr>
        <w:t>, αντίθετα, χρησιμοποιεί τη γλώσσα της λογοδοσίας, της σαφήνειας προέλευσης και της συνεργασίας, μετατρέποντας την επιστροφή σε ιστορία θεσμικής υπευθυνότητας. Συνεπώς, ένα κρίσιμο πεδίο της σύγκρουσης για τα αμφισβητούμενα αντικείμενα είναι η ικανότητα κάθε μουσείου να παράγει πειστική δημόσια αφήγηση.</w:t>
      </w:r>
    </w:p>
    <w:p w14:paraId="38EE2257" w14:textId="77777777" w:rsidR="006E4573" w:rsidRPr="000F3293" w:rsidRDefault="006E4573" w:rsidP="006E4573">
      <w:pPr>
        <w:spacing w:line="360" w:lineRule="auto"/>
        <w:ind w:firstLine="720"/>
        <w:jc w:val="both"/>
        <w:rPr>
          <w:rFonts w:cs="Times New Roman"/>
        </w:rPr>
      </w:pPr>
      <w:r w:rsidRPr="000F3293">
        <w:rPr>
          <w:rFonts w:cs="Times New Roman"/>
        </w:rPr>
        <w:t xml:space="preserve">Τέταρτο συμπέρασμα είναι ότι η περίπτωση του </w:t>
      </w:r>
      <w:r w:rsidRPr="000F3293">
        <w:rPr>
          <w:rFonts w:cs="Times New Roman"/>
          <w:lang w:val="en-US"/>
        </w:rPr>
        <w:t>Nick</w:t>
      </w:r>
      <w:r w:rsidRPr="000F3293">
        <w:rPr>
          <w:rFonts w:cs="Times New Roman"/>
        </w:rPr>
        <w:t xml:space="preserve"> </w:t>
      </w:r>
      <w:r w:rsidRPr="000F3293">
        <w:rPr>
          <w:rFonts w:cs="Times New Roman"/>
          <w:lang w:val="en-US"/>
        </w:rPr>
        <w:t>Merriman</w:t>
      </w:r>
      <w:r w:rsidRPr="000F3293">
        <w:rPr>
          <w:rFonts w:cs="Times New Roman"/>
        </w:rPr>
        <w:t xml:space="preserve"> επιβεβαιώνει πως τα πρόσωπα έχουν σημασία, ιδίως όταν συνδυάζουν ακαδημαϊκή επάρκεια, διοικητική εμπειρία και δημόσια παρουσία. Η συμβολή του δεν περιορίστηκε σε μια προσωπική άποψη υπέρ της αποκατάστασης. Συνδέθηκε με την οικοδόμηση πολιτικής, με την παραγωγή κειμένων αυτοκριτικής για την αποικιακή κληρονομιά, με την ενσωμάτωση της συζήτησης στην ευρύτερη στρατηγική του μουσείου και με τη μετέπειτα θεωρητική αποτίμηση της εμπειρίας μέσω του βιβλίου του. Αυτό υποδηλώνει ότι η ηγεσία στα μουσεία μπορεί να λειτουργήσει καταλυτικά, όταν κατορθώνει να μετατρέψει το ηθικό επιχείρημα σε διοικητική διαδικασία και σε επικοινωνιακά βιώσιμο δημόσιο πλαίσιο.</w:t>
      </w:r>
    </w:p>
    <w:p w14:paraId="22A8349B" w14:textId="77777777" w:rsidR="006E4573" w:rsidRPr="000F3293" w:rsidRDefault="006E4573" w:rsidP="006E4573">
      <w:pPr>
        <w:spacing w:line="360" w:lineRule="auto"/>
        <w:ind w:firstLine="720"/>
        <w:jc w:val="both"/>
        <w:rPr>
          <w:rFonts w:cs="Times New Roman"/>
        </w:rPr>
      </w:pPr>
      <w:r w:rsidRPr="000F3293">
        <w:rPr>
          <w:rFonts w:cs="Times New Roman"/>
        </w:rPr>
        <w:t xml:space="preserve">Πέμπτο συμπέρασμα είναι ότι η επιστροφή δεν πρέπει να αντιμετωπίζεται ως δυαδικό σχήμα, παραμονή ή απόλυτη απώλεια. Η υπόθεση του </w:t>
      </w:r>
      <w:r w:rsidRPr="000F3293">
        <w:rPr>
          <w:rFonts w:cs="Times New Roman"/>
          <w:lang w:val="en-US"/>
        </w:rPr>
        <w:t>Horniman</w:t>
      </w:r>
      <w:r w:rsidRPr="000F3293">
        <w:rPr>
          <w:rFonts w:cs="Times New Roman"/>
        </w:rPr>
        <w:t xml:space="preserve"> δείχνει ένα τρίτο ενδεχόμενο, πρώτα αποκατάσταση κυριότητας και μετά επαναδιαπραγμάτευση της έκθεσης μέσω δανεισμού. Η περίπτωση αυτή δεν μπορεί να μεταφερθεί μηχανικά στον Παρθενώνα, επειδή εκεί εμπλέκονται τμήματα ενός μνημειακού συνόλου και όχι απλώς αποικιακά λεηλατημένα αντικείμενα μιας </w:t>
      </w:r>
      <w:r w:rsidRPr="000F3293">
        <w:rPr>
          <w:rFonts w:cs="Times New Roman"/>
        </w:rPr>
        <w:lastRenderedPageBreak/>
        <w:t xml:space="preserve">κατηγορίας. Ωστόσο, αναδεικνύει κάτι θεμελιώδες. Η διεθνής πρόσβαση και η επιστροφή δεν είναι κατ’ ανάγκην αμοιβαία </w:t>
      </w:r>
      <w:proofErr w:type="spellStart"/>
      <w:r w:rsidRPr="000F3293">
        <w:rPr>
          <w:rFonts w:cs="Times New Roman"/>
        </w:rPr>
        <w:t>αποκλειόμενοι</w:t>
      </w:r>
      <w:proofErr w:type="spellEnd"/>
      <w:r w:rsidRPr="000F3293">
        <w:rPr>
          <w:rFonts w:cs="Times New Roman"/>
        </w:rPr>
        <w:t xml:space="preserve"> στόχοι. Σε ορισμένες περιπτώσεις μπορούν να οργανωθούν διαδοχικά, αρκεί να λυθεί πρώτα το ζήτημα της νομιμότητας και της ηθικής προτεραιότητας.</w:t>
      </w:r>
    </w:p>
    <w:p w14:paraId="29F6DF59" w14:textId="77777777" w:rsidR="006E4573" w:rsidRPr="000F3293" w:rsidRDefault="006E4573" w:rsidP="006E4573">
      <w:pPr>
        <w:spacing w:line="360" w:lineRule="auto"/>
        <w:ind w:firstLine="720"/>
        <w:jc w:val="both"/>
        <w:rPr>
          <w:rFonts w:cs="Times New Roman"/>
        </w:rPr>
      </w:pPr>
      <w:r w:rsidRPr="000F3293">
        <w:rPr>
          <w:rFonts w:cs="Times New Roman"/>
        </w:rPr>
        <w:t xml:space="preserve">Πέρα από τα συμπεράσματα, η έρευνα αυτή έχει και συγκεκριμένους περιορισμούς. Ο πρώτος περιορισμός αφορά τις πηγές. Μεγάλο μέρος του υλικού που αξιοποιήθηκε προέρχεται από επίσημες ιστοσελίδες μουσείων, δελτία Τύπου, ετήσιες εκθέσεις και θεσμικές ανακοινώσεις. Πρόκειται για υλικό εξαιρετικά χρήσιμο για την κατανόηση της επίσημης θέσης κάθε ιδρύματος, αλλά ταυτόχρονα είναι υλικό </w:t>
      </w:r>
      <w:proofErr w:type="spellStart"/>
      <w:r w:rsidRPr="000F3293">
        <w:rPr>
          <w:rFonts w:cs="Times New Roman"/>
        </w:rPr>
        <w:t>επιτελεστικό</w:t>
      </w:r>
      <w:proofErr w:type="spellEnd"/>
      <w:r w:rsidRPr="000F3293">
        <w:rPr>
          <w:rFonts w:cs="Times New Roman"/>
        </w:rPr>
        <w:t xml:space="preserve"> και </w:t>
      </w:r>
      <w:proofErr w:type="spellStart"/>
      <w:r w:rsidRPr="000F3293">
        <w:rPr>
          <w:rFonts w:cs="Times New Roman"/>
        </w:rPr>
        <w:t>αυτοπαρουσιαστικό</w:t>
      </w:r>
      <w:proofErr w:type="spellEnd"/>
      <w:r w:rsidRPr="000F3293">
        <w:rPr>
          <w:rFonts w:cs="Times New Roman"/>
        </w:rPr>
        <w:t xml:space="preserve">. Τα μουσεία, όταν μιλούν για τον εαυτό τους, δεν αποτυπώνουν απλώς την πραγματικότητα. Την οργανώνουν με τρόπο που να εξυπηρετεί τη νομιμοποίησή τους. Συνεπώς, οι επίσημες πηγές πρέπει να διαβάζονται κριτικά, ως παράθυρα τόσο στην πράξη όσο και στην </w:t>
      </w:r>
      <w:proofErr w:type="spellStart"/>
      <w:r w:rsidRPr="000F3293">
        <w:rPr>
          <w:rFonts w:cs="Times New Roman"/>
        </w:rPr>
        <w:t>αυτοεικόνα</w:t>
      </w:r>
      <w:proofErr w:type="spellEnd"/>
      <w:r w:rsidRPr="000F3293">
        <w:rPr>
          <w:rFonts w:cs="Times New Roman"/>
        </w:rPr>
        <w:t xml:space="preserve"> των οργανισμών.</w:t>
      </w:r>
    </w:p>
    <w:p w14:paraId="7EE32648" w14:textId="77777777" w:rsidR="006E4573" w:rsidRPr="000F3293" w:rsidRDefault="006E4573" w:rsidP="006E4573">
      <w:pPr>
        <w:spacing w:line="360" w:lineRule="auto"/>
        <w:ind w:firstLine="720"/>
        <w:jc w:val="both"/>
        <w:rPr>
          <w:rFonts w:cs="Times New Roman"/>
        </w:rPr>
      </w:pPr>
      <w:r w:rsidRPr="000F3293">
        <w:rPr>
          <w:rFonts w:cs="Times New Roman"/>
        </w:rPr>
        <w:t xml:space="preserve">Δεύτερος περιορισμός αφορά τη συγκριτική ασυμμετρία των περιπτώσεων. Το Μουσείο Ακρόπολης αφορά κατά κύριο λόγο την επανένωση τμημάτων ενός μοναδικού μνημείου. Το </w:t>
      </w:r>
      <w:r w:rsidRPr="000F3293">
        <w:rPr>
          <w:rFonts w:cs="Times New Roman"/>
          <w:lang w:val="en-US"/>
        </w:rPr>
        <w:t>Horniman</w:t>
      </w:r>
      <w:r w:rsidRPr="000F3293">
        <w:rPr>
          <w:rFonts w:cs="Times New Roman"/>
        </w:rPr>
        <w:t xml:space="preserve"> αφορά αποκατάσταση αποικιακά λεηλατημένων αντικειμένων. Το Βρετανικό Μουσείο εμπλέκεται και στις δύο λογικές, αλλά η παρούσα ανάλυση επικεντρώθηκε πρωτίστως στα Γλυπτά του Παρθενώνα. Αυτό σημαίνει ότι οι τρεις περιπτώσεις είναι συγκρίσιμες ως προς τη μουσειακή πολιτική, όχι όμως απολύτως ισοδύναμες ως προς το ιστορικό και νομικό είδος του αιτήματος. Η σύγκριση, επομένως, είναι αναλυτικά παραγωγική, αλλά πρέπει να χρησιμοποιείται με επίγνωση των ορίων της.</w:t>
      </w:r>
    </w:p>
    <w:p w14:paraId="6B4086E6" w14:textId="77777777" w:rsidR="006E4573" w:rsidRPr="000F3293" w:rsidRDefault="006E4573" w:rsidP="006E4573">
      <w:pPr>
        <w:spacing w:line="360" w:lineRule="auto"/>
        <w:ind w:firstLine="720"/>
        <w:jc w:val="both"/>
        <w:rPr>
          <w:rFonts w:cs="Times New Roman"/>
        </w:rPr>
      </w:pPr>
      <w:r w:rsidRPr="000F3293">
        <w:rPr>
          <w:rFonts w:cs="Times New Roman"/>
        </w:rPr>
        <w:t xml:space="preserve">Τρίτος περιορισμός αφορά την απουσία πρωτογενούς επιτόπιας έρευνας. Η εργασία δεν στηρίχθηκε σε συνεντεύξεις με Επιτρόπους, επιμελητές, νομικούς συμβούλους, εκπροσώπους της Εθνικής Επιτροπής Μουσείων και Μνημείων της Νιγηρίας, του Υπουργείου Πολιτισμού ή διεθνών επιτροπών. Μια τέτοια έρευνα θα μπορούσε να φωτίσει πολύ βαθύτερα τις εσωτερικές διαφωνίες, τις άτυπες διαπραγματεύσεις, τους </w:t>
      </w:r>
      <w:proofErr w:type="spellStart"/>
      <w:r w:rsidRPr="000F3293">
        <w:rPr>
          <w:rFonts w:cs="Times New Roman"/>
        </w:rPr>
        <w:t>οργανωσιακούς</w:t>
      </w:r>
      <w:proofErr w:type="spellEnd"/>
      <w:r w:rsidRPr="000F3293">
        <w:rPr>
          <w:rFonts w:cs="Times New Roman"/>
        </w:rPr>
        <w:t xml:space="preserve"> φόβους και τα σημεία που δεν γίνονται ορατά μέσα στις επίσημες διατυπώσεις. Ιδίως για το Βρετανικό Μουσείο, θα ήταν κρίσιμο να μελετηθεί πώς ακριβώς βιώνεται εσωτερικά η ένταση ανάμεσα στην πίεση για επιστροφές, στη νομοθετική ακαμψία και στη ρητορική της εταιρικής σχέσης.</w:t>
      </w:r>
    </w:p>
    <w:p w14:paraId="25841161" w14:textId="77777777" w:rsidR="006E4573" w:rsidRPr="000F3293" w:rsidRDefault="006E4573" w:rsidP="006E4573">
      <w:pPr>
        <w:spacing w:line="360" w:lineRule="auto"/>
        <w:ind w:firstLine="720"/>
        <w:jc w:val="both"/>
        <w:rPr>
          <w:rFonts w:cs="Times New Roman"/>
        </w:rPr>
      </w:pPr>
      <w:r w:rsidRPr="000F3293">
        <w:rPr>
          <w:rFonts w:cs="Times New Roman"/>
        </w:rPr>
        <w:lastRenderedPageBreak/>
        <w:t>Τέταρτος περιορισμός είναι ότι η παρούσα ανάλυση δεν προχώρησε σε συστηματική ποσοτική μελέτη της κοινής γνώμης ή της ψηφιακής απήχησης των σχετικών υποθέσεων. Γνωρίζουμε από τη βιβλιογραφία ότι η κοινή γνώμη, τα κοινωνικά δίκτυα και οι καμπάνιες επηρεάζουν ολοένα περισσότερο τις πολιτιστικές αποφάσεις. Ωστόσο, δεν πραγματοποιήθηκε εδώ εμπειρική ανάλυση δεδομένων από ψηφιακές πλατφόρμες, δημοσκοπήσεις ή συστηματική μελέτη ειδησεογραφικής κάλυψης. Αυτό αποτελεί σαφές πεδίο για μελλοντική έρευνα.</w:t>
      </w:r>
    </w:p>
    <w:p w14:paraId="569B7866" w14:textId="77777777" w:rsidR="006E4573" w:rsidRPr="000F3293" w:rsidRDefault="006E4573" w:rsidP="006E4573">
      <w:pPr>
        <w:spacing w:line="360" w:lineRule="auto"/>
        <w:ind w:firstLine="720"/>
        <w:jc w:val="both"/>
        <w:rPr>
          <w:rFonts w:cs="Times New Roman"/>
        </w:rPr>
      </w:pPr>
      <w:r w:rsidRPr="000F3293">
        <w:rPr>
          <w:rFonts w:cs="Times New Roman"/>
        </w:rPr>
        <w:t xml:space="preserve">Με βάση αυτούς τους περιορισμούς, μπορούν να διατυπωθούν ορισμένες συγκεκριμένες προτάσεις για μελλοντική έρευνα. Πρώτον, χρειάζονται </w:t>
      </w:r>
      <w:proofErr w:type="spellStart"/>
      <w:r w:rsidRPr="000F3293">
        <w:rPr>
          <w:rFonts w:cs="Times New Roman"/>
        </w:rPr>
        <w:t>πολυτοπικές</w:t>
      </w:r>
      <w:proofErr w:type="spellEnd"/>
      <w:r w:rsidRPr="000F3293">
        <w:rPr>
          <w:rFonts w:cs="Times New Roman"/>
        </w:rPr>
        <w:t xml:space="preserve"> ποιοτικές μελέτες με συνεντεύξεις σε Αθήνα, Λονδίνο, </w:t>
      </w:r>
      <w:proofErr w:type="spellStart"/>
      <w:r w:rsidRPr="000F3293">
        <w:rPr>
          <w:rFonts w:cs="Times New Roman"/>
        </w:rPr>
        <w:t>Αμπούτζα</w:t>
      </w:r>
      <w:proofErr w:type="spellEnd"/>
      <w:r w:rsidRPr="000F3293">
        <w:rPr>
          <w:rFonts w:cs="Times New Roman"/>
        </w:rPr>
        <w:t xml:space="preserve"> και Πόλη του Μπενίν, ώστε να αποτυπωθεί όχι μόνο η επίσημη αλλά και η βιωμένη θεσμική λογική των επιστροφών. Δεύτερον, απαιτείται συστηματική ανάλυση λόγου των ιστοσελίδων, των δελτίων Τύπου και των εκθεσιακών κειμένων μουσείων που διαχειρίζονται αμφισβητούμενα αντικείμενα, ώστε να φανεί πώς αλλάζει διαχρονικά η μουσειακή γλώσσα για την κυριότητα, τη βία, τη συνεργασία και το δημόσιο όφελος. Τρίτον, θα ήταν εξαιρετικά χρήσιμη η συγκριτική μελέτη περισσότερων μουσείων με ενδιάμεσες ή υβριδικές πολιτικές, ώστε να διαπιστωθεί αν το μοντέλο του </w:t>
      </w:r>
      <w:r w:rsidRPr="000F3293">
        <w:rPr>
          <w:rFonts w:cs="Times New Roman"/>
          <w:lang w:val="en-US"/>
        </w:rPr>
        <w:t>Horniman</w:t>
      </w:r>
      <w:r w:rsidRPr="000F3293">
        <w:rPr>
          <w:rFonts w:cs="Times New Roman"/>
        </w:rPr>
        <w:t xml:space="preserve"> παραμένει εξαίρεση ή αν σταδιακά μετατρέπεται σε ευρύτερη τάση. Τέταρτον, χρειάζεται ειδική έρευνα για την έννοια της επανένωσης σε περιπτώσεις μνημειακών συνόλων, ώστε να καταστεί θεωρητικά σαφέστερο πότε η επιστροφή δεν είναι απλώς επαναπατρισμός αλλά αποκατάσταση ενότητας. </w:t>
      </w:r>
      <w:proofErr w:type="spellStart"/>
      <w:r w:rsidRPr="000F3293">
        <w:rPr>
          <w:rFonts w:cs="Times New Roman"/>
        </w:rPr>
        <w:t>Πέμπτον</w:t>
      </w:r>
      <w:proofErr w:type="spellEnd"/>
      <w:r w:rsidRPr="000F3293">
        <w:rPr>
          <w:rFonts w:cs="Times New Roman"/>
        </w:rPr>
        <w:t xml:space="preserve">, η μελλοντική έρευνα θα μπορούσε να εστιάσει ειδικά στα ηγετικά πρόσωπα των μουσείων, εξετάζοντας πώς η βιογραφία, η ακαδημαϊκή κατάρτιση και η δημόσια παρουσία διευθυντών, όπως ο </w:t>
      </w:r>
      <w:r w:rsidRPr="000F3293">
        <w:rPr>
          <w:rFonts w:cs="Times New Roman"/>
          <w:lang w:val="en-US"/>
        </w:rPr>
        <w:t>Nick</w:t>
      </w:r>
      <w:r w:rsidRPr="000F3293">
        <w:rPr>
          <w:rFonts w:cs="Times New Roman"/>
        </w:rPr>
        <w:t xml:space="preserve"> </w:t>
      </w:r>
      <w:r w:rsidRPr="000F3293">
        <w:rPr>
          <w:rFonts w:cs="Times New Roman"/>
          <w:lang w:val="en-US"/>
        </w:rPr>
        <w:t>Merriman</w:t>
      </w:r>
      <w:r w:rsidRPr="000F3293">
        <w:rPr>
          <w:rFonts w:cs="Times New Roman"/>
        </w:rPr>
        <w:t>, διαμορφώνουν τις πιθανότητες θεσμικής αλλαγής.</w:t>
      </w:r>
    </w:p>
    <w:p w14:paraId="2566C9CE" w14:textId="77777777" w:rsidR="006E4573" w:rsidRPr="000F3293" w:rsidRDefault="006E4573" w:rsidP="006E4573">
      <w:pPr>
        <w:spacing w:line="360" w:lineRule="auto"/>
        <w:ind w:firstLine="720"/>
        <w:jc w:val="both"/>
        <w:rPr>
          <w:rFonts w:cs="Times New Roman"/>
        </w:rPr>
      </w:pPr>
      <w:r w:rsidRPr="000F3293">
        <w:rPr>
          <w:rFonts w:cs="Times New Roman"/>
        </w:rPr>
        <w:t xml:space="preserve">Καταληκτικά, η παρούσα μελέτη έδειξε ότι τα μουσεία αποτελούν σήμερα ένα από τα σημαντικότερα πεδία όπου δοκιμάζεται η σχέση ανάμεσα στην πολιτιστική κληρονομιά, τη δικαιοσύνη, την κυριότητα και τη δημόσια μνήμη. Το Μουσείο Ακρόπολης, το Βρετανικό Μουσείο και το Μουσείο </w:t>
      </w:r>
      <w:r w:rsidRPr="000F3293">
        <w:rPr>
          <w:rFonts w:cs="Times New Roman"/>
          <w:lang w:val="en-US"/>
        </w:rPr>
        <w:t>Horniman</w:t>
      </w:r>
      <w:r w:rsidRPr="000F3293">
        <w:rPr>
          <w:rFonts w:cs="Times New Roman"/>
        </w:rPr>
        <w:t xml:space="preserve"> καταδεικνύουν ότι δεν υπάρχει μία ενιαία μουσειακή απάντηση στην επιστροφή. Υπάρχουν διαφορετικά θεσμικά φαντασιακά, διαφορετικές ερμηνείες του νόμου, διαφορετικοί ορισμοί του δημόσιου αγαθού και διαφορετικές δυνατότητες μετατροπής της ηθικής πίεσης σε πράξη. Αυτό ακριβώς καθιστά την έρευνα για τα αμφισβητούμενα </w:t>
      </w:r>
      <w:r w:rsidRPr="000F3293">
        <w:rPr>
          <w:rFonts w:cs="Times New Roman"/>
        </w:rPr>
        <w:lastRenderedPageBreak/>
        <w:t>αντικείμενα όχι μόνο επίκαιρη, αλλά και απολύτως αναγκαία για την κατανόηση του σύγχρονου πολιτιστικού πεδίου.</w:t>
      </w:r>
    </w:p>
    <w:p w14:paraId="7358BB20" w14:textId="77777777" w:rsidR="006E4573" w:rsidRPr="000F3293" w:rsidRDefault="006E4573" w:rsidP="006E4573">
      <w:pPr>
        <w:spacing w:line="360" w:lineRule="auto"/>
        <w:ind w:firstLine="720"/>
        <w:jc w:val="both"/>
        <w:rPr>
          <w:rFonts w:cs="Times New Roman"/>
        </w:rPr>
      </w:pPr>
      <w:r w:rsidRPr="000F3293">
        <w:rPr>
          <w:rFonts w:cs="Times New Roman"/>
        </w:rPr>
        <w:t xml:space="preserve">Σε επίπεδο πολιτικής εφαρμογής, τα ευρήματα της εργασίας υποστηρίζουν και ορισμένες πρακτικές κατευθύνσεις. Τα μουσεία που επιθυμούν να κινηθούν προς πιο υπεύθυνες πολιτικές επιστροφής χρειάζεται να επενδύσουν σε τρία τουλάχιστον εργαλεία, συστηματική έρευνα προέλευσης, θεσμοθετημένες διαδικασίες διαβούλευσης με κοινότητες προέλευσης και διαφανή πρωτόκολλα λήψης αποφάσεων από τα διοικητικά τους όργανα. Εξίσου σημαντικό είναι να αποφεύγεται η ψευδής αντίθεση ανάμεσα στην επιστροφή και στην πρόσβαση του κοινού. Το παράδειγμα του </w:t>
      </w:r>
      <w:r w:rsidRPr="000F3293">
        <w:rPr>
          <w:rFonts w:cs="Times New Roman"/>
          <w:lang w:val="en-US"/>
        </w:rPr>
        <w:t>Horniman</w:t>
      </w:r>
      <w:r w:rsidRPr="000F3293">
        <w:rPr>
          <w:rFonts w:cs="Times New Roman"/>
        </w:rPr>
        <w:t xml:space="preserve"> δείχνει ότι η πρόσβαση μπορεί να συνεχιστεί με νέους, πιο δίκαιους όρους. Το παράδειγμα του Μουσείου Ακρόπολης δείχνει ότι η πρόσβαση αποκτά βαθύτερο νόημα όταν συνδέεται με το μνημειακό </w:t>
      </w:r>
      <w:proofErr w:type="spellStart"/>
      <w:r w:rsidRPr="000F3293">
        <w:rPr>
          <w:rFonts w:cs="Times New Roman"/>
        </w:rPr>
        <w:t>συμφραζόμενο</w:t>
      </w:r>
      <w:proofErr w:type="spellEnd"/>
      <w:r w:rsidRPr="000F3293">
        <w:rPr>
          <w:rFonts w:cs="Times New Roman"/>
        </w:rPr>
        <w:t xml:space="preserve">. Και η περίπτωση του Βρετανικού Μουσείου δείχνει ότι χωρίς </w:t>
      </w:r>
      <w:proofErr w:type="spellStart"/>
      <w:r w:rsidRPr="000F3293">
        <w:rPr>
          <w:rFonts w:cs="Times New Roman"/>
        </w:rPr>
        <w:t>αναστοχασμό</w:t>
      </w:r>
      <w:proofErr w:type="spellEnd"/>
      <w:r w:rsidRPr="000F3293">
        <w:rPr>
          <w:rFonts w:cs="Times New Roman"/>
        </w:rPr>
        <w:t xml:space="preserve"> πάνω στο τι ακριβώς σημαίνει δημόσιο όφελος, η επίκλησή του κινδυνεύει να μετατραπεί σε μόνιμο μηχανισμό αναβολής. Αυτές οι διαπιστώσεις δεν λύνουν από μόνες τους τις συγκρούσεις, αλλά προσφέρουν σαφές αναλυτικό πλαίσιο για πιο ώριμες και δικαιότερες πολιτιστικές πολιτικές στο μέλλον.</w:t>
      </w:r>
    </w:p>
    <w:p w14:paraId="2E0FABEB" w14:textId="77777777" w:rsidR="006E4573" w:rsidRPr="000F3293" w:rsidRDefault="006E4573" w:rsidP="006E4573">
      <w:pPr>
        <w:rPr>
          <w:rFonts w:cs="Times New Roman"/>
          <w:vanish/>
        </w:rPr>
      </w:pPr>
      <w:r w:rsidRPr="000F3293">
        <w:rPr>
          <w:rFonts w:cs="Times New Roman"/>
          <w:vanish/>
          <w:lang w:val="en-US"/>
        </w:rPr>
        <w:t>Top</w:t>
      </w:r>
      <w:r w:rsidRPr="000F3293">
        <w:rPr>
          <w:rFonts w:cs="Times New Roman"/>
          <w:vanish/>
        </w:rPr>
        <w:t xml:space="preserve"> </w:t>
      </w:r>
      <w:r w:rsidRPr="000F3293">
        <w:rPr>
          <w:rFonts w:cs="Times New Roman"/>
          <w:vanish/>
          <w:lang w:val="en-US"/>
        </w:rPr>
        <w:t>of</w:t>
      </w:r>
      <w:r w:rsidRPr="000F3293">
        <w:rPr>
          <w:rFonts w:cs="Times New Roman"/>
          <w:vanish/>
        </w:rPr>
        <w:t xml:space="preserve"> </w:t>
      </w:r>
      <w:r w:rsidRPr="000F3293">
        <w:rPr>
          <w:rFonts w:cs="Times New Roman"/>
          <w:vanish/>
          <w:lang w:val="en-US"/>
        </w:rPr>
        <w:t>Form</w:t>
      </w:r>
    </w:p>
    <w:p w14:paraId="2A43226D" w14:textId="77777777" w:rsidR="006E4573" w:rsidRPr="000F3293" w:rsidRDefault="006E4573" w:rsidP="006E4573">
      <w:pPr>
        <w:rPr>
          <w:rFonts w:cs="Times New Roman"/>
        </w:rPr>
      </w:pPr>
    </w:p>
    <w:p w14:paraId="6C8C7115" w14:textId="77777777" w:rsidR="006E4573" w:rsidRPr="000F3293" w:rsidRDefault="006E4573" w:rsidP="006E4573">
      <w:pPr>
        <w:rPr>
          <w:rFonts w:cs="Times New Roman"/>
          <w:vanish/>
        </w:rPr>
      </w:pPr>
      <w:r w:rsidRPr="000F3293">
        <w:rPr>
          <w:rFonts w:cs="Times New Roman"/>
          <w:vanish/>
          <w:lang w:val="en-US"/>
        </w:rPr>
        <w:t>Bottom</w:t>
      </w:r>
      <w:r w:rsidRPr="000F3293">
        <w:rPr>
          <w:rFonts w:cs="Times New Roman"/>
          <w:vanish/>
        </w:rPr>
        <w:t xml:space="preserve"> </w:t>
      </w:r>
      <w:r w:rsidRPr="000F3293">
        <w:rPr>
          <w:rFonts w:cs="Times New Roman"/>
          <w:vanish/>
          <w:lang w:val="en-US"/>
        </w:rPr>
        <w:t>of</w:t>
      </w:r>
      <w:r w:rsidRPr="000F3293">
        <w:rPr>
          <w:rFonts w:cs="Times New Roman"/>
          <w:vanish/>
        </w:rPr>
        <w:t xml:space="preserve"> </w:t>
      </w:r>
      <w:r w:rsidRPr="000F3293">
        <w:rPr>
          <w:rFonts w:cs="Times New Roman"/>
          <w:vanish/>
          <w:lang w:val="en-US"/>
        </w:rPr>
        <w:t>Form</w:t>
      </w:r>
    </w:p>
    <w:p w14:paraId="64AF5AB3" w14:textId="77777777" w:rsidR="000B0296" w:rsidRPr="000F3293" w:rsidRDefault="000B0296">
      <w:pPr>
        <w:rPr>
          <w:rFonts w:cs="Times New Roman"/>
        </w:rPr>
      </w:pPr>
    </w:p>
    <w:p w14:paraId="36377160" w14:textId="77777777" w:rsidR="000B0296" w:rsidRPr="000F3293" w:rsidRDefault="000B0296">
      <w:pPr>
        <w:rPr>
          <w:rFonts w:cs="Times New Roman"/>
        </w:rPr>
      </w:pPr>
    </w:p>
    <w:p w14:paraId="08053C61" w14:textId="77777777" w:rsidR="000B0296" w:rsidRPr="000F3293" w:rsidRDefault="000B0296">
      <w:pPr>
        <w:rPr>
          <w:rFonts w:cs="Times New Roman"/>
        </w:rPr>
      </w:pPr>
    </w:p>
    <w:p w14:paraId="2AA3E015" w14:textId="5DA49859" w:rsidR="000B0296" w:rsidRPr="000F3293" w:rsidRDefault="00CF49B3">
      <w:pPr>
        <w:rPr>
          <w:rFonts w:cs="Times New Roman"/>
        </w:rPr>
      </w:pPr>
      <w:r w:rsidRPr="000F3293">
        <w:rPr>
          <w:rFonts w:cs="Times New Roman"/>
        </w:rPr>
        <w:br w:type="page"/>
      </w:r>
    </w:p>
    <w:p w14:paraId="48AFAED2" w14:textId="48A9F133" w:rsidR="008D6D7C" w:rsidRPr="000F3293" w:rsidRDefault="00417A98" w:rsidP="008D6D7C">
      <w:pPr>
        <w:pStyle w:val="1"/>
        <w:rPr>
          <w:lang w:val="en-US"/>
        </w:rPr>
      </w:pPr>
      <w:bookmarkStart w:id="38" w:name="_Toc233154590"/>
      <w:r w:rsidRPr="000F3293">
        <w:lastRenderedPageBreak/>
        <w:t>Βιβλιογραφία</w:t>
      </w:r>
      <w:bookmarkEnd w:id="38"/>
    </w:p>
    <w:p w14:paraId="16D27F5D" w14:textId="77777777" w:rsidR="008D6D7C" w:rsidRPr="000F3293" w:rsidRDefault="008D6D7C" w:rsidP="00D441B6">
      <w:pPr>
        <w:pStyle w:val="Web"/>
        <w:spacing w:line="360" w:lineRule="auto"/>
        <w:ind w:left="360"/>
        <w:jc w:val="both"/>
      </w:pPr>
      <w:r w:rsidRPr="000F3293">
        <w:rPr>
          <w:lang w:val="en-US"/>
        </w:rPr>
        <w:t xml:space="preserve">Acropolis Museum. (2022a, January 10). </w:t>
      </w:r>
      <w:r w:rsidRPr="000F3293">
        <w:rPr>
          <w:i/>
          <w:iCs/>
          <w:lang w:val="en-US"/>
        </w:rPr>
        <w:t>The first return of a Parthenon sculpture from abroad to the new Acropolis Museum</w:t>
      </w:r>
      <w:r w:rsidRPr="000F3293">
        <w:rPr>
          <w:lang w:val="en-US"/>
        </w:rPr>
        <w:t xml:space="preserve">. </w:t>
      </w:r>
      <w:r w:rsidRPr="000F3293">
        <w:t xml:space="preserve">Ανακτήθηκε 1 Μαρτίου 2026 από </w:t>
      </w:r>
      <w:hyperlink r:id="rId10"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theacropolismuseum</w:t>
        </w:r>
        <w:proofErr w:type="spellEnd"/>
        <w:r w:rsidRPr="000F3293">
          <w:rPr>
            <w:rStyle w:val="-"/>
          </w:rPr>
          <w:t>.</w:t>
        </w:r>
        <w:r w:rsidRPr="000F3293">
          <w:rPr>
            <w:rStyle w:val="-"/>
            <w:lang w:val="en-US"/>
          </w:rPr>
          <w:t>gr</w:t>
        </w:r>
        <w:r w:rsidRPr="000F3293">
          <w:rPr>
            <w:rStyle w:val="-"/>
          </w:rPr>
          <w:t>/</w:t>
        </w:r>
        <w:proofErr w:type="spellStart"/>
        <w:r w:rsidRPr="000F3293">
          <w:rPr>
            <w:rStyle w:val="-"/>
            <w:lang w:val="en-US"/>
          </w:rPr>
          <w:t>en</w:t>
        </w:r>
        <w:proofErr w:type="spellEnd"/>
        <w:r w:rsidRPr="000F3293">
          <w:rPr>
            <w:rStyle w:val="-"/>
          </w:rPr>
          <w:t>/</w:t>
        </w:r>
        <w:r w:rsidRPr="000F3293">
          <w:rPr>
            <w:rStyle w:val="-"/>
            <w:lang w:val="en-US"/>
          </w:rPr>
          <w:t>exhibition</w:t>
        </w:r>
        <w:r w:rsidRPr="000F3293">
          <w:rPr>
            <w:rStyle w:val="-"/>
          </w:rPr>
          <w:t>-</w:t>
        </w:r>
        <w:r w:rsidRPr="000F3293">
          <w:rPr>
            <w:rStyle w:val="-"/>
            <w:lang w:val="en-US"/>
          </w:rPr>
          <w:t>programs</w:t>
        </w:r>
        <w:r w:rsidRPr="000F3293">
          <w:rPr>
            <w:rStyle w:val="-"/>
          </w:rPr>
          <w:t>/</w:t>
        </w:r>
        <w:r w:rsidRPr="000F3293">
          <w:rPr>
            <w:rStyle w:val="-"/>
            <w:lang w:val="en-US"/>
          </w:rPr>
          <w:t>first</w:t>
        </w:r>
        <w:r w:rsidRPr="000F3293">
          <w:rPr>
            <w:rStyle w:val="-"/>
          </w:rPr>
          <w:t>-</w:t>
        </w:r>
        <w:r w:rsidRPr="000F3293">
          <w:rPr>
            <w:rStyle w:val="-"/>
            <w:lang w:val="en-US"/>
          </w:rPr>
          <w:t>return</w:t>
        </w:r>
        <w:r w:rsidRPr="000F3293">
          <w:rPr>
            <w:rStyle w:val="-"/>
          </w:rPr>
          <w:t>-</w:t>
        </w:r>
        <w:proofErr w:type="spellStart"/>
        <w:r w:rsidRPr="000F3293">
          <w:rPr>
            <w:rStyle w:val="-"/>
            <w:lang w:val="en-US"/>
          </w:rPr>
          <w:t>parthenon</w:t>
        </w:r>
        <w:proofErr w:type="spellEnd"/>
        <w:r w:rsidRPr="000F3293">
          <w:rPr>
            <w:rStyle w:val="-"/>
          </w:rPr>
          <w:t>-</w:t>
        </w:r>
        <w:r w:rsidRPr="000F3293">
          <w:rPr>
            <w:rStyle w:val="-"/>
            <w:lang w:val="en-US"/>
          </w:rPr>
          <w:t>sculpture</w:t>
        </w:r>
        <w:r w:rsidRPr="000F3293">
          <w:rPr>
            <w:rStyle w:val="-"/>
          </w:rPr>
          <w:t>-</w:t>
        </w:r>
        <w:r w:rsidRPr="000F3293">
          <w:rPr>
            <w:rStyle w:val="-"/>
            <w:lang w:val="en-US"/>
          </w:rPr>
          <w:t>abroad</w:t>
        </w:r>
        <w:r w:rsidRPr="000F3293">
          <w:rPr>
            <w:rStyle w:val="-"/>
          </w:rPr>
          <w:t>-</w:t>
        </w:r>
        <w:r w:rsidRPr="000F3293">
          <w:rPr>
            <w:rStyle w:val="-"/>
            <w:lang w:val="en-US"/>
          </w:rPr>
          <w:t>new</w:t>
        </w:r>
        <w:r w:rsidRPr="000F3293">
          <w:rPr>
            <w:rStyle w:val="-"/>
          </w:rPr>
          <w:t>-</w:t>
        </w:r>
        <w:r w:rsidRPr="000F3293">
          <w:rPr>
            <w:rStyle w:val="-"/>
            <w:lang w:val="en-US"/>
          </w:rPr>
          <w:t>acropolis</w:t>
        </w:r>
        <w:r w:rsidRPr="000F3293">
          <w:rPr>
            <w:rStyle w:val="-"/>
          </w:rPr>
          <w:t>-</w:t>
        </w:r>
        <w:r w:rsidRPr="000F3293">
          <w:rPr>
            <w:rStyle w:val="-"/>
            <w:lang w:val="en-US"/>
          </w:rPr>
          <w:t>museum</w:t>
        </w:r>
      </w:hyperlink>
      <w:r w:rsidRPr="000F3293">
        <w:t xml:space="preserve"> </w:t>
      </w:r>
    </w:p>
    <w:p w14:paraId="246CDACB" w14:textId="77777777" w:rsidR="008D6D7C" w:rsidRPr="000F3293" w:rsidRDefault="008D6D7C" w:rsidP="00D441B6">
      <w:pPr>
        <w:pStyle w:val="Web"/>
        <w:spacing w:line="360" w:lineRule="auto"/>
        <w:ind w:left="360"/>
        <w:jc w:val="both"/>
      </w:pPr>
      <w:r w:rsidRPr="000F3293">
        <w:rPr>
          <w:lang w:val="en-US"/>
        </w:rPr>
        <w:t xml:space="preserve">Acropolis Museum. (2022b, June 4). </w:t>
      </w:r>
      <w:r w:rsidRPr="000F3293">
        <w:rPr>
          <w:i/>
          <w:iCs/>
          <w:lang w:val="en-US"/>
        </w:rPr>
        <w:t>The permanent reunification of the “Fagan fragment” at the Acropolis Museum</w:t>
      </w:r>
      <w:r w:rsidRPr="000F3293">
        <w:rPr>
          <w:lang w:val="en-US"/>
        </w:rPr>
        <w:t xml:space="preserve">. </w:t>
      </w:r>
      <w:r w:rsidRPr="000F3293">
        <w:t xml:space="preserve">Ανακτήθηκε 1 Μαρτίου 2026 από </w:t>
      </w:r>
      <w:hyperlink r:id="rId11"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theacropolismuseum</w:t>
        </w:r>
        <w:proofErr w:type="spellEnd"/>
        <w:r w:rsidRPr="000F3293">
          <w:rPr>
            <w:rStyle w:val="-"/>
          </w:rPr>
          <w:t>.</w:t>
        </w:r>
        <w:r w:rsidRPr="000F3293">
          <w:rPr>
            <w:rStyle w:val="-"/>
            <w:lang w:val="en-US"/>
          </w:rPr>
          <w:t>gr</w:t>
        </w:r>
        <w:r w:rsidRPr="000F3293">
          <w:rPr>
            <w:rStyle w:val="-"/>
          </w:rPr>
          <w:t>/</w:t>
        </w:r>
        <w:proofErr w:type="spellStart"/>
        <w:r w:rsidRPr="000F3293">
          <w:rPr>
            <w:rStyle w:val="-"/>
            <w:lang w:val="en-US"/>
          </w:rPr>
          <w:t>en</w:t>
        </w:r>
        <w:proofErr w:type="spellEnd"/>
        <w:r w:rsidRPr="000F3293">
          <w:rPr>
            <w:rStyle w:val="-"/>
          </w:rPr>
          <w:t>/</w:t>
        </w:r>
        <w:r w:rsidRPr="000F3293">
          <w:rPr>
            <w:rStyle w:val="-"/>
            <w:lang w:val="en-US"/>
          </w:rPr>
          <w:t>exhibition</w:t>
        </w:r>
        <w:r w:rsidRPr="000F3293">
          <w:rPr>
            <w:rStyle w:val="-"/>
          </w:rPr>
          <w:t>-</w:t>
        </w:r>
        <w:r w:rsidRPr="000F3293">
          <w:rPr>
            <w:rStyle w:val="-"/>
            <w:lang w:val="en-US"/>
          </w:rPr>
          <w:t>programs</w:t>
        </w:r>
        <w:r w:rsidRPr="000F3293">
          <w:rPr>
            <w:rStyle w:val="-"/>
          </w:rPr>
          <w:t>/</w:t>
        </w:r>
        <w:r w:rsidRPr="000F3293">
          <w:rPr>
            <w:rStyle w:val="-"/>
            <w:lang w:val="en-US"/>
          </w:rPr>
          <w:t>permanent</w:t>
        </w:r>
        <w:r w:rsidRPr="000F3293">
          <w:rPr>
            <w:rStyle w:val="-"/>
          </w:rPr>
          <w:t>-</w:t>
        </w:r>
        <w:r w:rsidRPr="000F3293">
          <w:rPr>
            <w:rStyle w:val="-"/>
            <w:lang w:val="en-US"/>
          </w:rPr>
          <w:t>reunification</w:t>
        </w:r>
        <w:r w:rsidRPr="000F3293">
          <w:rPr>
            <w:rStyle w:val="-"/>
          </w:rPr>
          <w:t>-</w:t>
        </w:r>
        <w:proofErr w:type="spellStart"/>
        <w:r w:rsidRPr="000F3293">
          <w:rPr>
            <w:rStyle w:val="-"/>
            <w:lang w:val="en-US"/>
          </w:rPr>
          <w:t>fagan</w:t>
        </w:r>
        <w:proofErr w:type="spellEnd"/>
        <w:r w:rsidRPr="000F3293">
          <w:rPr>
            <w:rStyle w:val="-"/>
          </w:rPr>
          <w:t>-</w:t>
        </w:r>
        <w:r w:rsidRPr="000F3293">
          <w:rPr>
            <w:rStyle w:val="-"/>
            <w:lang w:val="en-US"/>
          </w:rPr>
          <w:t>fragment</w:t>
        </w:r>
        <w:r w:rsidRPr="000F3293">
          <w:rPr>
            <w:rStyle w:val="-"/>
          </w:rPr>
          <w:t>-</w:t>
        </w:r>
        <w:r w:rsidRPr="000F3293">
          <w:rPr>
            <w:rStyle w:val="-"/>
            <w:lang w:val="en-US"/>
          </w:rPr>
          <w:t>acropolis</w:t>
        </w:r>
        <w:r w:rsidRPr="000F3293">
          <w:rPr>
            <w:rStyle w:val="-"/>
          </w:rPr>
          <w:t>-</w:t>
        </w:r>
        <w:r w:rsidRPr="000F3293">
          <w:rPr>
            <w:rStyle w:val="-"/>
            <w:lang w:val="en-US"/>
          </w:rPr>
          <w:t>museum</w:t>
        </w:r>
      </w:hyperlink>
      <w:r w:rsidRPr="000F3293">
        <w:t xml:space="preserve"> </w:t>
      </w:r>
    </w:p>
    <w:p w14:paraId="7F126693" w14:textId="77777777" w:rsidR="008D6D7C" w:rsidRPr="000F3293" w:rsidRDefault="008D6D7C" w:rsidP="00D441B6">
      <w:pPr>
        <w:pStyle w:val="Web"/>
        <w:spacing w:line="360" w:lineRule="auto"/>
        <w:ind w:left="360"/>
        <w:jc w:val="both"/>
      </w:pPr>
      <w:r w:rsidRPr="000F3293">
        <w:rPr>
          <w:lang w:val="en-US"/>
        </w:rPr>
        <w:t xml:space="preserve">Acropolis Museum. (2023a, March 24). </w:t>
      </w:r>
      <w:r w:rsidRPr="000F3293">
        <w:rPr>
          <w:i/>
          <w:iCs/>
          <w:lang w:val="en-US"/>
        </w:rPr>
        <w:t>The permanent reunification of Parthenon fragments from the Vatican Museums to the Acropolis Museum</w:t>
      </w:r>
      <w:r w:rsidRPr="000F3293">
        <w:rPr>
          <w:lang w:val="en-US"/>
        </w:rPr>
        <w:t xml:space="preserve">. </w:t>
      </w:r>
      <w:r w:rsidRPr="000F3293">
        <w:t xml:space="preserve">Ανακτήθηκε 1 Μαρτίου 2026 από </w:t>
      </w:r>
      <w:hyperlink r:id="rId12"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theacropolismuseum</w:t>
        </w:r>
        <w:proofErr w:type="spellEnd"/>
        <w:r w:rsidRPr="000F3293">
          <w:rPr>
            <w:rStyle w:val="-"/>
          </w:rPr>
          <w:t>.</w:t>
        </w:r>
        <w:r w:rsidRPr="000F3293">
          <w:rPr>
            <w:rStyle w:val="-"/>
            <w:lang w:val="en-US"/>
          </w:rPr>
          <w:t>gr</w:t>
        </w:r>
        <w:r w:rsidRPr="000F3293">
          <w:rPr>
            <w:rStyle w:val="-"/>
          </w:rPr>
          <w:t>/</w:t>
        </w:r>
        <w:proofErr w:type="spellStart"/>
        <w:r w:rsidRPr="000F3293">
          <w:rPr>
            <w:rStyle w:val="-"/>
            <w:lang w:val="en-US"/>
          </w:rPr>
          <w:t>en</w:t>
        </w:r>
        <w:proofErr w:type="spellEnd"/>
        <w:r w:rsidRPr="000F3293">
          <w:rPr>
            <w:rStyle w:val="-"/>
          </w:rPr>
          <w:t>/</w:t>
        </w:r>
        <w:r w:rsidRPr="000F3293">
          <w:rPr>
            <w:rStyle w:val="-"/>
            <w:lang w:val="en-US"/>
          </w:rPr>
          <w:t>exhibition</w:t>
        </w:r>
        <w:r w:rsidRPr="000F3293">
          <w:rPr>
            <w:rStyle w:val="-"/>
          </w:rPr>
          <w:t>-</w:t>
        </w:r>
        <w:r w:rsidRPr="000F3293">
          <w:rPr>
            <w:rStyle w:val="-"/>
            <w:lang w:val="en-US"/>
          </w:rPr>
          <w:t>programs</w:t>
        </w:r>
        <w:r w:rsidRPr="000F3293">
          <w:rPr>
            <w:rStyle w:val="-"/>
          </w:rPr>
          <w:t>/</w:t>
        </w:r>
        <w:r w:rsidRPr="000F3293">
          <w:rPr>
            <w:rStyle w:val="-"/>
            <w:lang w:val="en-US"/>
          </w:rPr>
          <w:t>permanent</w:t>
        </w:r>
        <w:r w:rsidRPr="000F3293">
          <w:rPr>
            <w:rStyle w:val="-"/>
          </w:rPr>
          <w:t>-</w:t>
        </w:r>
        <w:r w:rsidRPr="000F3293">
          <w:rPr>
            <w:rStyle w:val="-"/>
            <w:lang w:val="en-US"/>
          </w:rPr>
          <w:t>reunification</w:t>
        </w:r>
        <w:r w:rsidRPr="000F3293">
          <w:rPr>
            <w:rStyle w:val="-"/>
          </w:rPr>
          <w:t>-</w:t>
        </w:r>
        <w:proofErr w:type="spellStart"/>
        <w:r w:rsidRPr="000F3293">
          <w:rPr>
            <w:rStyle w:val="-"/>
            <w:lang w:val="en-US"/>
          </w:rPr>
          <w:t>parthenon</w:t>
        </w:r>
        <w:proofErr w:type="spellEnd"/>
        <w:r w:rsidRPr="000F3293">
          <w:rPr>
            <w:rStyle w:val="-"/>
          </w:rPr>
          <w:t>-</w:t>
        </w:r>
        <w:r w:rsidRPr="000F3293">
          <w:rPr>
            <w:rStyle w:val="-"/>
            <w:lang w:val="en-US"/>
          </w:rPr>
          <w:t>fragments</w:t>
        </w:r>
        <w:r w:rsidRPr="000F3293">
          <w:rPr>
            <w:rStyle w:val="-"/>
          </w:rPr>
          <w:t>-</w:t>
        </w:r>
        <w:proofErr w:type="spellStart"/>
        <w:r w:rsidRPr="000F3293">
          <w:rPr>
            <w:rStyle w:val="-"/>
            <w:lang w:val="en-US"/>
          </w:rPr>
          <w:t>vatican</w:t>
        </w:r>
        <w:proofErr w:type="spellEnd"/>
        <w:r w:rsidRPr="000F3293">
          <w:rPr>
            <w:rStyle w:val="-"/>
          </w:rPr>
          <w:t>-</w:t>
        </w:r>
        <w:r w:rsidRPr="000F3293">
          <w:rPr>
            <w:rStyle w:val="-"/>
            <w:lang w:val="en-US"/>
          </w:rPr>
          <w:t>museums</w:t>
        </w:r>
        <w:r w:rsidRPr="000F3293">
          <w:rPr>
            <w:rStyle w:val="-"/>
          </w:rPr>
          <w:t>-</w:t>
        </w:r>
        <w:r w:rsidRPr="000F3293">
          <w:rPr>
            <w:rStyle w:val="-"/>
            <w:lang w:val="en-US"/>
          </w:rPr>
          <w:t>acropolis</w:t>
        </w:r>
        <w:r w:rsidRPr="000F3293">
          <w:rPr>
            <w:rStyle w:val="-"/>
          </w:rPr>
          <w:t>-</w:t>
        </w:r>
        <w:r w:rsidRPr="000F3293">
          <w:rPr>
            <w:rStyle w:val="-"/>
            <w:lang w:val="en-US"/>
          </w:rPr>
          <w:t>museum</w:t>
        </w:r>
      </w:hyperlink>
      <w:r w:rsidRPr="000F3293">
        <w:t xml:space="preserve"> </w:t>
      </w:r>
    </w:p>
    <w:p w14:paraId="7FF60484" w14:textId="77777777" w:rsidR="008D6D7C" w:rsidRPr="000F3293" w:rsidRDefault="008D6D7C" w:rsidP="00D441B6">
      <w:pPr>
        <w:pStyle w:val="Web"/>
        <w:spacing w:line="360" w:lineRule="auto"/>
        <w:ind w:left="360"/>
        <w:jc w:val="both"/>
        <w:rPr>
          <w:lang w:val="en-US"/>
        </w:rPr>
      </w:pPr>
      <w:r w:rsidRPr="000F3293">
        <w:rPr>
          <w:lang w:val="en-US"/>
        </w:rPr>
        <w:t xml:space="preserve">Acropolis Museum. (n.d.-a). </w:t>
      </w:r>
      <w:proofErr w:type="spellStart"/>
      <w:r w:rsidRPr="000F3293">
        <w:rPr>
          <w:i/>
          <w:iCs/>
          <w:lang w:val="en-US"/>
        </w:rPr>
        <w:t>Organisation</w:t>
      </w:r>
      <w:proofErr w:type="spellEnd"/>
      <w:r w:rsidRPr="000F3293">
        <w:rPr>
          <w:i/>
          <w:iCs/>
          <w:lang w:val="en-US"/>
        </w:rPr>
        <w:t xml:space="preserve"> &amp; management</w:t>
      </w:r>
      <w:r w:rsidRPr="000F3293">
        <w:rPr>
          <w:lang w:val="en-US"/>
        </w:rPr>
        <w:t xml:space="preserve">. </w:t>
      </w:r>
      <w:r w:rsidRPr="000F3293">
        <w:t>Ανακτήθηκε</w:t>
      </w:r>
      <w:r w:rsidRPr="000F3293">
        <w:rPr>
          <w:lang w:val="en-US"/>
        </w:rPr>
        <w:t xml:space="preserve"> 10 </w:t>
      </w:r>
      <w:r w:rsidRPr="000F3293">
        <w:t>Μαρτίου</w:t>
      </w:r>
      <w:r w:rsidRPr="000F3293">
        <w:rPr>
          <w:lang w:val="en-US"/>
        </w:rPr>
        <w:t xml:space="preserve"> 2026 </w:t>
      </w:r>
      <w:r w:rsidRPr="000F3293">
        <w:t>από</w:t>
      </w:r>
      <w:r w:rsidRPr="000F3293">
        <w:rPr>
          <w:lang w:val="en-US"/>
        </w:rPr>
        <w:t xml:space="preserve"> </w:t>
      </w:r>
      <w:hyperlink r:id="rId13" w:tgtFrame="_new" w:history="1">
        <w:r w:rsidRPr="000F3293">
          <w:rPr>
            <w:rStyle w:val="-"/>
            <w:lang w:val="en-US"/>
          </w:rPr>
          <w:t>https://www.theacropolismuseum.gr/en/organisation-management</w:t>
        </w:r>
      </w:hyperlink>
      <w:r w:rsidRPr="000F3293">
        <w:rPr>
          <w:lang w:val="en-US"/>
        </w:rPr>
        <w:t xml:space="preserve"> </w:t>
      </w:r>
    </w:p>
    <w:p w14:paraId="1C184A8B" w14:textId="77777777" w:rsidR="008D6D7C" w:rsidRPr="000F3293" w:rsidRDefault="008D6D7C" w:rsidP="00D441B6">
      <w:pPr>
        <w:pStyle w:val="Web"/>
        <w:spacing w:line="360" w:lineRule="auto"/>
        <w:ind w:left="360"/>
        <w:jc w:val="both"/>
      </w:pPr>
      <w:r w:rsidRPr="000F3293">
        <w:rPr>
          <w:lang w:val="en-US"/>
        </w:rPr>
        <w:t xml:space="preserve">Acropolis Museum. (n.d.-b). </w:t>
      </w:r>
      <w:r w:rsidRPr="000F3293">
        <w:rPr>
          <w:i/>
          <w:iCs/>
          <w:lang w:val="en-US"/>
        </w:rPr>
        <w:t>Museum</w:t>
      </w:r>
      <w:r w:rsidRPr="000F3293">
        <w:rPr>
          <w:i/>
          <w:iCs/>
        </w:rPr>
        <w:t xml:space="preserve"> </w:t>
      </w:r>
      <w:r w:rsidRPr="000F3293">
        <w:rPr>
          <w:i/>
          <w:iCs/>
          <w:lang w:val="en-US"/>
        </w:rPr>
        <w:t>history</w:t>
      </w:r>
      <w:r w:rsidRPr="000F3293">
        <w:t xml:space="preserve">. Ανακτήθηκε 12 Μαρτίου 2026 από </w:t>
      </w:r>
      <w:hyperlink r:id="rId14"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theacropolismuseum</w:t>
        </w:r>
        <w:proofErr w:type="spellEnd"/>
        <w:r w:rsidRPr="000F3293">
          <w:rPr>
            <w:rStyle w:val="-"/>
          </w:rPr>
          <w:t>.</w:t>
        </w:r>
        <w:r w:rsidRPr="000F3293">
          <w:rPr>
            <w:rStyle w:val="-"/>
            <w:lang w:val="en-US"/>
          </w:rPr>
          <w:t>gr</w:t>
        </w:r>
        <w:r w:rsidRPr="000F3293">
          <w:rPr>
            <w:rStyle w:val="-"/>
          </w:rPr>
          <w:t>/</w:t>
        </w:r>
        <w:proofErr w:type="spellStart"/>
        <w:r w:rsidRPr="000F3293">
          <w:rPr>
            <w:rStyle w:val="-"/>
            <w:lang w:val="en-US"/>
          </w:rPr>
          <w:t>en</w:t>
        </w:r>
        <w:proofErr w:type="spellEnd"/>
        <w:r w:rsidRPr="000F3293">
          <w:rPr>
            <w:rStyle w:val="-"/>
          </w:rPr>
          <w:t>/</w:t>
        </w:r>
        <w:r w:rsidRPr="000F3293">
          <w:rPr>
            <w:rStyle w:val="-"/>
            <w:lang w:val="en-US"/>
          </w:rPr>
          <w:t>museum</w:t>
        </w:r>
        <w:r w:rsidRPr="000F3293">
          <w:rPr>
            <w:rStyle w:val="-"/>
          </w:rPr>
          <w:t>-</w:t>
        </w:r>
        <w:r w:rsidRPr="000F3293">
          <w:rPr>
            <w:rStyle w:val="-"/>
            <w:lang w:val="en-US"/>
          </w:rPr>
          <w:t>history</w:t>
        </w:r>
      </w:hyperlink>
      <w:r w:rsidRPr="000F3293">
        <w:t xml:space="preserve"> </w:t>
      </w:r>
    </w:p>
    <w:p w14:paraId="6AF08372" w14:textId="77777777" w:rsidR="008D6D7C" w:rsidRPr="000F3293" w:rsidRDefault="008D6D7C" w:rsidP="00D441B6">
      <w:pPr>
        <w:pStyle w:val="Web"/>
        <w:spacing w:line="360" w:lineRule="auto"/>
        <w:ind w:left="360"/>
        <w:jc w:val="both"/>
        <w:rPr>
          <w:lang w:val="en-US"/>
        </w:rPr>
      </w:pPr>
      <w:r w:rsidRPr="000F3293">
        <w:rPr>
          <w:lang w:val="en-US"/>
        </w:rPr>
        <w:t xml:space="preserve">Acropolis Museum. (n.d.-c). </w:t>
      </w:r>
      <w:r w:rsidRPr="000F3293">
        <w:rPr>
          <w:i/>
          <w:iCs/>
          <w:lang w:val="en-US"/>
        </w:rPr>
        <w:t>The Parthenon Gallery</w:t>
      </w:r>
      <w:r w:rsidRPr="000F3293">
        <w:rPr>
          <w:lang w:val="en-US"/>
        </w:rPr>
        <w:t xml:space="preserve">. </w:t>
      </w:r>
      <w:r w:rsidRPr="000F3293">
        <w:t>Ανακτήθηκε</w:t>
      </w:r>
      <w:r w:rsidRPr="000F3293">
        <w:rPr>
          <w:lang w:val="en-US"/>
        </w:rPr>
        <w:t xml:space="preserve"> 12 </w:t>
      </w:r>
      <w:r w:rsidRPr="000F3293">
        <w:t>Μαρτίου</w:t>
      </w:r>
      <w:r w:rsidRPr="000F3293">
        <w:rPr>
          <w:lang w:val="en-US"/>
        </w:rPr>
        <w:t xml:space="preserve"> 2026 </w:t>
      </w:r>
      <w:r w:rsidRPr="000F3293">
        <w:t>από</w:t>
      </w:r>
      <w:r w:rsidRPr="000F3293">
        <w:rPr>
          <w:lang w:val="en-US"/>
        </w:rPr>
        <w:t xml:space="preserve"> </w:t>
      </w:r>
      <w:hyperlink r:id="rId15" w:tgtFrame="_new" w:history="1">
        <w:r w:rsidRPr="000F3293">
          <w:rPr>
            <w:rStyle w:val="-"/>
            <w:lang w:val="en-US"/>
          </w:rPr>
          <w:t>https://www.theacropolismuseum.gr/en/exhibit-halls/parthenon-gallery</w:t>
        </w:r>
      </w:hyperlink>
      <w:r w:rsidRPr="000F3293">
        <w:rPr>
          <w:lang w:val="en-US"/>
        </w:rPr>
        <w:t xml:space="preserve"> </w:t>
      </w:r>
    </w:p>
    <w:p w14:paraId="27EF9B29" w14:textId="77777777" w:rsidR="008D6D7C" w:rsidRPr="000F3293" w:rsidRDefault="008D6D7C" w:rsidP="00D441B6">
      <w:pPr>
        <w:pStyle w:val="Web"/>
        <w:spacing w:line="360" w:lineRule="auto"/>
        <w:ind w:left="360"/>
        <w:jc w:val="both"/>
      </w:pPr>
      <w:r w:rsidRPr="000F3293">
        <w:rPr>
          <w:lang w:val="en-US"/>
        </w:rPr>
        <w:t xml:space="preserve">Acropolis Museum. (n.d.-d). </w:t>
      </w:r>
      <w:r w:rsidRPr="000F3293">
        <w:rPr>
          <w:i/>
          <w:iCs/>
          <w:lang w:val="en-US"/>
        </w:rPr>
        <w:t>Press releases</w:t>
      </w:r>
      <w:r w:rsidRPr="000F3293">
        <w:rPr>
          <w:lang w:val="en-US"/>
        </w:rPr>
        <w:t xml:space="preserve">. </w:t>
      </w:r>
      <w:r w:rsidRPr="000F3293">
        <w:t xml:space="preserve">Ανακτήθηκε 12 Μαρτίου 2026 από </w:t>
      </w:r>
      <w:hyperlink r:id="rId16"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theacropolismuseum</w:t>
        </w:r>
        <w:proofErr w:type="spellEnd"/>
        <w:r w:rsidRPr="000F3293">
          <w:rPr>
            <w:rStyle w:val="-"/>
          </w:rPr>
          <w:t>.</w:t>
        </w:r>
        <w:r w:rsidRPr="000F3293">
          <w:rPr>
            <w:rStyle w:val="-"/>
            <w:lang w:val="en-US"/>
          </w:rPr>
          <w:t>gr</w:t>
        </w:r>
        <w:r w:rsidRPr="000F3293">
          <w:rPr>
            <w:rStyle w:val="-"/>
          </w:rPr>
          <w:t>/</w:t>
        </w:r>
        <w:proofErr w:type="spellStart"/>
        <w:r w:rsidRPr="000F3293">
          <w:rPr>
            <w:rStyle w:val="-"/>
            <w:lang w:val="en-US"/>
          </w:rPr>
          <w:t>en</w:t>
        </w:r>
        <w:proofErr w:type="spellEnd"/>
        <w:r w:rsidRPr="000F3293">
          <w:rPr>
            <w:rStyle w:val="-"/>
          </w:rPr>
          <w:t>/</w:t>
        </w:r>
        <w:r w:rsidRPr="000F3293">
          <w:rPr>
            <w:rStyle w:val="-"/>
            <w:lang w:val="en-US"/>
          </w:rPr>
          <w:t>press</w:t>
        </w:r>
        <w:r w:rsidRPr="000F3293">
          <w:rPr>
            <w:rStyle w:val="-"/>
          </w:rPr>
          <w:t>-</w:t>
        </w:r>
        <w:r w:rsidRPr="000F3293">
          <w:rPr>
            <w:rStyle w:val="-"/>
            <w:lang w:val="en-US"/>
          </w:rPr>
          <w:t>releases</w:t>
        </w:r>
      </w:hyperlink>
      <w:r w:rsidRPr="000F3293">
        <w:t xml:space="preserve"> </w:t>
      </w:r>
    </w:p>
    <w:p w14:paraId="2E20395B" w14:textId="77777777" w:rsidR="008D6D7C" w:rsidRPr="000F3293" w:rsidRDefault="008D6D7C" w:rsidP="00417A98">
      <w:pPr>
        <w:spacing w:before="100" w:beforeAutospacing="1" w:after="100" w:afterAutospacing="1" w:line="360" w:lineRule="auto"/>
        <w:ind w:left="360"/>
        <w:jc w:val="both"/>
        <w:rPr>
          <w:rFonts w:cs="Times New Roman"/>
          <w:lang w:val="en-US"/>
        </w:rPr>
      </w:pPr>
      <w:r w:rsidRPr="000F3293">
        <w:rPr>
          <w:rFonts w:cs="Times New Roman"/>
          <w:lang w:val="en-US"/>
        </w:rPr>
        <w:t xml:space="preserve">Anglin, R. (2013). The World Heritage List: Bridging the cultural property nationalism–internationalism divide. </w:t>
      </w:r>
      <w:r w:rsidRPr="000F3293">
        <w:rPr>
          <w:rFonts w:cs="Times New Roman"/>
          <w:i/>
          <w:iCs/>
          <w:lang w:val="en-US"/>
        </w:rPr>
        <w:t xml:space="preserve">Yale Journal of Law &amp; the Humanities, </w:t>
      </w:r>
      <w:r w:rsidRPr="000F3293">
        <w:rPr>
          <w:rFonts w:cs="Times New Roman"/>
          <w:lang w:val="en-US"/>
        </w:rPr>
        <w:t xml:space="preserve">241-275. </w:t>
      </w:r>
      <w:r w:rsidRPr="000F3293">
        <w:t>Ανακτήθηκε</w:t>
      </w:r>
      <w:r w:rsidRPr="000F3293">
        <w:rPr>
          <w:lang w:val="en-US"/>
        </w:rPr>
        <w:t xml:space="preserve"> 12 </w:t>
      </w:r>
      <w:r w:rsidRPr="000F3293">
        <w:t>Μαρτίου</w:t>
      </w:r>
      <w:r w:rsidRPr="000F3293">
        <w:rPr>
          <w:lang w:val="en-US"/>
        </w:rPr>
        <w:t xml:space="preserve"> 2026 </w:t>
      </w:r>
      <w:r w:rsidRPr="000F3293">
        <w:t>από</w:t>
      </w:r>
      <w:r w:rsidRPr="000F3293">
        <w:rPr>
          <w:lang w:val="en-US"/>
        </w:rPr>
        <w:t xml:space="preserve"> </w:t>
      </w:r>
      <w:hyperlink r:id="rId17" w:history="1">
        <w:r w:rsidRPr="000F3293">
          <w:rPr>
            <w:rStyle w:val="-"/>
            <w:rFonts w:cs="Times New Roman"/>
            <w:lang w:val="en-US"/>
          </w:rPr>
          <w:t>https://openyls.law.yale.edu/server/api/core/bitstreams/94d99ac9-3c04-4dfa-9f30-8351dada2fba/content</w:t>
        </w:r>
      </w:hyperlink>
      <w:r w:rsidRPr="000F3293">
        <w:rPr>
          <w:rFonts w:cs="Times New Roman"/>
          <w:lang w:val="en-US"/>
        </w:rPr>
        <w:t xml:space="preserve"> </w:t>
      </w:r>
    </w:p>
    <w:p w14:paraId="25451A26" w14:textId="77777777" w:rsidR="008D6D7C" w:rsidRPr="000F3293" w:rsidRDefault="008D6D7C" w:rsidP="00D441B6">
      <w:pPr>
        <w:pStyle w:val="Web"/>
        <w:spacing w:line="360" w:lineRule="auto"/>
        <w:ind w:left="360"/>
        <w:jc w:val="both"/>
      </w:pPr>
      <w:r w:rsidRPr="000F3293">
        <w:rPr>
          <w:lang w:val="en-US"/>
        </w:rPr>
        <w:lastRenderedPageBreak/>
        <w:t xml:space="preserve">Art Fund. (n.d.). </w:t>
      </w:r>
      <w:r w:rsidRPr="000F3293">
        <w:rPr>
          <w:i/>
          <w:iCs/>
          <w:lang w:val="en-US"/>
        </w:rPr>
        <w:t>Horniman Museum and Gardens’ director Nick Merriman discusses the Museum of the Year 2022 win</w:t>
      </w:r>
      <w:r w:rsidRPr="000F3293">
        <w:rPr>
          <w:lang w:val="en-US"/>
        </w:rPr>
        <w:t xml:space="preserve"> [Video]. YouTube</w:t>
      </w:r>
      <w:r w:rsidRPr="000F3293">
        <w:t xml:space="preserve">.  Ανακτήθηκε 22 Μαρτίου 2026 από </w:t>
      </w:r>
      <w:hyperlink r:id="rId18"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youtube</w:t>
        </w:r>
        <w:proofErr w:type="spellEnd"/>
        <w:r w:rsidRPr="000F3293">
          <w:rPr>
            <w:rStyle w:val="-"/>
          </w:rPr>
          <w:t>.</w:t>
        </w:r>
        <w:r w:rsidRPr="000F3293">
          <w:rPr>
            <w:rStyle w:val="-"/>
            <w:lang w:val="en-US"/>
          </w:rPr>
          <w:t>com</w:t>
        </w:r>
        <w:r w:rsidRPr="000F3293">
          <w:rPr>
            <w:rStyle w:val="-"/>
          </w:rPr>
          <w:t>/</w:t>
        </w:r>
        <w:r w:rsidRPr="000F3293">
          <w:rPr>
            <w:rStyle w:val="-"/>
            <w:lang w:val="en-US"/>
          </w:rPr>
          <w:t>watch</w:t>
        </w:r>
        <w:r w:rsidRPr="000F3293">
          <w:rPr>
            <w:rStyle w:val="-"/>
          </w:rPr>
          <w:t>?</w:t>
        </w:r>
        <w:r w:rsidRPr="000F3293">
          <w:rPr>
            <w:rStyle w:val="-"/>
            <w:lang w:val="en-US"/>
          </w:rPr>
          <w:t>v</w:t>
        </w:r>
        <w:r w:rsidRPr="000F3293">
          <w:rPr>
            <w:rStyle w:val="-"/>
          </w:rPr>
          <w:t>=</w:t>
        </w:r>
        <w:proofErr w:type="spellStart"/>
        <w:r w:rsidRPr="000F3293">
          <w:rPr>
            <w:rStyle w:val="-"/>
            <w:lang w:val="en-US"/>
          </w:rPr>
          <w:t>mJB</w:t>
        </w:r>
        <w:proofErr w:type="spellEnd"/>
        <w:r w:rsidRPr="000F3293">
          <w:rPr>
            <w:rStyle w:val="-"/>
          </w:rPr>
          <w:t>6</w:t>
        </w:r>
        <w:proofErr w:type="spellStart"/>
        <w:r w:rsidRPr="000F3293">
          <w:rPr>
            <w:rStyle w:val="-"/>
            <w:lang w:val="en-US"/>
          </w:rPr>
          <w:t>ZqURHgc</w:t>
        </w:r>
        <w:proofErr w:type="spellEnd"/>
      </w:hyperlink>
      <w:r w:rsidRPr="000F3293">
        <w:t xml:space="preserve"> </w:t>
      </w:r>
    </w:p>
    <w:p w14:paraId="6708DF39" w14:textId="77777777" w:rsidR="008D6D7C" w:rsidRPr="000F3293" w:rsidRDefault="008D6D7C" w:rsidP="00417A98">
      <w:pPr>
        <w:spacing w:after="0" w:line="360" w:lineRule="auto"/>
        <w:ind w:left="360"/>
        <w:jc w:val="both"/>
        <w:rPr>
          <w:rFonts w:eastAsia="Times New Roman" w:cs="Times New Roman"/>
          <w:kern w:val="0"/>
          <w:szCs w:val="24"/>
          <w:lang w:val="en-US"/>
          <w14:ligatures w14:val="none"/>
        </w:rPr>
      </w:pPr>
      <w:proofErr w:type="spellStart"/>
      <w:r w:rsidRPr="000F3293">
        <w:rPr>
          <w:rFonts w:cs="Times New Roman"/>
          <w:lang w:val="en-US"/>
        </w:rPr>
        <w:t>Banteka</w:t>
      </w:r>
      <w:proofErr w:type="spellEnd"/>
      <w:r w:rsidRPr="000F3293">
        <w:rPr>
          <w:rFonts w:cs="Times New Roman"/>
          <w:lang w:val="en-US"/>
        </w:rPr>
        <w:t xml:space="preserve">, N. (2016). The Parthenon Marbles revisited: A new strategy for Greece. </w:t>
      </w:r>
      <w:r w:rsidRPr="000F3293">
        <w:rPr>
          <w:rStyle w:val="a5"/>
          <w:rFonts w:cs="Times New Roman"/>
          <w:lang w:val="en-US"/>
        </w:rPr>
        <w:t>University of Pennsylvania Journal of International Law, 37</w:t>
      </w:r>
      <w:r w:rsidRPr="000F3293">
        <w:rPr>
          <w:rFonts w:cs="Times New Roman"/>
          <w:lang w:val="en-US"/>
        </w:rPr>
        <w:t>(4), 1–44.</w:t>
      </w:r>
    </w:p>
    <w:p w14:paraId="5A68691E" w14:textId="77777777" w:rsidR="008D6D7C" w:rsidRPr="000F3293" w:rsidRDefault="008D6D7C" w:rsidP="00417A98">
      <w:pPr>
        <w:pStyle w:val="Web"/>
        <w:spacing w:line="360" w:lineRule="auto"/>
        <w:ind w:left="360"/>
        <w:jc w:val="both"/>
        <w:rPr>
          <w:lang w:val="en-US"/>
        </w:rPr>
      </w:pPr>
      <w:r w:rsidRPr="000F3293">
        <w:rPr>
          <w:lang w:val="en-US"/>
        </w:rPr>
        <w:t xml:space="preserve">Bound, K., Briggs, R., Holden, J., &amp; Jones, S. (2007). </w:t>
      </w:r>
      <w:r w:rsidRPr="000F3293">
        <w:rPr>
          <w:rStyle w:val="a5"/>
          <w:lang w:val="en-US"/>
        </w:rPr>
        <w:t>Cultural diplomacy</w:t>
      </w:r>
      <w:r w:rsidRPr="000F3293">
        <w:rPr>
          <w:lang w:val="en-US"/>
        </w:rPr>
        <w:t>. London: Demos.</w:t>
      </w:r>
    </w:p>
    <w:p w14:paraId="729594D0" w14:textId="77777777" w:rsidR="008D6D7C" w:rsidRPr="000F3293" w:rsidRDefault="008D6D7C">
      <w:pPr>
        <w:pStyle w:val="Web"/>
        <w:spacing w:line="360" w:lineRule="auto"/>
        <w:ind w:left="360"/>
        <w:jc w:val="both"/>
        <w:rPr>
          <w:lang w:val="en-US"/>
        </w:rPr>
      </w:pPr>
      <w:r w:rsidRPr="000F3293">
        <w:rPr>
          <w:lang w:val="en-US"/>
        </w:rPr>
        <w:t xml:space="preserve">Bowen, G. A. (2009). Document analysis as a qualitative research method. </w:t>
      </w:r>
      <w:r w:rsidRPr="000F3293">
        <w:rPr>
          <w:rStyle w:val="a5"/>
          <w:lang w:val="en-US"/>
        </w:rPr>
        <w:t>Qualitative Research Journal, 9</w:t>
      </w:r>
      <w:r w:rsidRPr="000F3293">
        <w:rPr>
          <w:lang w:val="en-US"/>
        </w:rPr>
        <w:t xml:space="preserve">(2), 27–40. </w:t>
      </w:r>
      <w:hyperlink r:id="rId19" w:history="1">
        <w:r w:rsidRPr="000F3293">
          <w:rPr>
            <w:rStyle w:val="-"/>
            <w:lang w:val="en-US"/>
          </w:rPr>
          <w:t>https://doi.org/10.3316/QRJ0902027</w:t>
        </w:r>
      </w:hyperlink>
    </w:p>
    <w:p w14:paraId="6F7AE57F" w14:textId="77777777" w:rsidR="008D6D7C" w:rsidRPr="000F3293" w:rsidRDefault="008D6D7C" w:rsidP="00D441B6">
      <w:pPr>
        <w:pStyle w:val="Web"/>
        <w:spacing w:line="360" w:lineRule="auto"/>
        <w:ind w:left="360"/>
        <w:jc w:val="both"/>
        <w:rPr>
          <w:lang w:val="en-US"/>
        </w:rPr>
      </w:pPr>
      <w:r w:rsidRPr="000F3293">
        <w:rPr>
          <w:i/>
          <w:iCs/>
          <w:lang w:val="en-US"/>
        </w:rPr>
        <w:t>British Museum Act 1963</w:t>
      </w:r>
      <w:r w:rsidRPr="000F3293">
        <w:rPr>
          <w:lang w:val="en-US"/>
        </w:rPr>
        <w:t xml:space="preserve">, c. 24 (UK). </w:t>
      </w:r>
      <w:hyperlink r:id="rId20" w:tgtFrame="_new" w:history="1">
        <w:r w:rsidRPr="000F3293">
          <w:rPr>
            <w:rStyle w:val="-"/>
            <w:lang w:val="en-US"/>
          </w:rPr>
          <w:t>https://www.legislation.gov.uk/ukpga/1963/24</w:t>
        </w:r>
      </w:hyperlink>
      <w:r w:rsidRPr="000F3293">
        <w:rPr>
          <w:lang w:val="en-US"/>
        </w:rPr>
        <w:t xml:space="preserve"> </w:t>
      </w:r>
    </w:p>
    <w:p w14:paraId="58C335BE" w14:textId="77777777" w:rsidR="008D6D7C" w:rsidRPr="000F3293" w:rsidRDefault="008D6D7C" w:rsidP="00D441B6">
      <w:pPr>
        <w:pStyle w:val="Web"/>
        <w:spacing w:line="360" w:lineRule="auto"/>
        <w:ind w:left="360"/>
        <w:jc w:val="both"/>
      </w:pPr>
      <w:r w:rsidRPr="000F3293">
        <w:rPr>
          <w:lang w:val="en-US"/>
        </w:rPr>
        <w:t xml:space="preserve">British Museum. (2025a). </w:t>
      </w:r>
      <w:r w:rsidRPr="000F3293">
        <w:rPr>
          <w:i/>
          <w:iCs/>
          <w:lang w:val="en-US"/>
        </w:rPr>
        <w:t>The British Museum: Report and accounts for the year ended 31 March 2025</w:t>
      </w:r>
      <w:r w:rsidRPr="000F3293">
        <w:rPr>
          <w:lang w:val="en-US"/>
        </w:rPr>
        <w:t xml:space="preserve"> (HC 994). </w:t>
      </w:r>
      <w:hyperlink r:id="rId21"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britishmuseum</w:t>
        </w:r>
        <w:proofErr w:type="spellEnd"/>
        <w:r w:rsidRPr="000F3293">
          <w:rPr>
            <w:rStyle w:val="-"/>
          </w:rPr>
          <w:t>.</w:t>
        </w:r>
        <w:r w:rsidRPr="000F3293">
          <w:rPr>
            <w:rStyle w:val="-"/>
            <w:lang w:val="en-US"/>
          </w:rPr>
          <w:t>org</w:t>
        </w:r>
        <w:r w:rsidRPr="000F3293">
          <w:rPr>
            <w:rStyle w:val="-"/>
          </w:rPr>
          <w:t>/</w:t>
        </w:r>
        <w:r w:rsidRPr="000F3293">
          <w:rPr>
            <w:rStyle w:val="-"/>
            <w:lang w:val="en-US"/>
          </w:rPr>
          <w:t>sites</w:t>
        </w:r>
        <w:r w:rsidRPr="000F3293">
          <w:rPr>
            <w:rStyle w:val="-"/>
          </w:rPr>
          <w:t>/</w:t>
        </w:r>
        <w:r w:rsidRPr="000F3293">
          <w:rPr>
            <w:rStyle w:val="-"/>
            <w:lang w:val="en-US"/>
          </w:rPr>
          <w:t>default</w:t>
        </w:r>
        <w:r w:rsidRPr="000F3293">
          <w:rPr>
            <w:rStyle w:val="-"/>
          </w:rPr>
          <w:t>/</w:t>
        </w:r>
        <w:r w:rsidRPr="000F3293">
          <w:rPr>
            <w:rStyle w:val="-"/>
            <w:lang w:val="en-US"/>
          </w:rPr>
          <w:t>files</w:t>
        </w:r>
        <w:r w:rsidRPr="000F3293">
          <w:rPr>
            <w:rStyle w:val="-"/>
          </w:rPr>
          <w:t>/2025-07/</w:t>
        </w:r>
        <w:r w:rsidRPr="000F3293">
          <w:rPr>
            <w:rStyle w:val="-"/>
            <w:lang w:val="en-US"/>
          </w:rPr>
          <w:t>Annual</w:t>
        </w:r>
        <w:r w:rsidRPr="000F3293">
          <w:rPr>
            <w:rStyle w:val="-"/>
          </w:rPr>
          <w:t>_</w:t>
        </w:r>
        <w:r w:rsidRPr="000F3293">
          <w:rPr>
            <w:rStyle w:val="-"/>
            <w:lang w:val="en-US"/>
          </w:rPr>
          <w:t>Report</w:t>
        </w:r>
        <w:r w:rsidRPr="000F3293">
          <w:rPr>
            <w:rStyle w:val="-"/>
          </w:rPr>
          <w:t>_</w:t>
        </w:r>
        <w:r w:rsidRPr="000F3293">
          <w:rPr>
            <w:rStyle w:val="-"/>
            <w:lang w:val="en-US"/>
          </w:rPr>
          <w:t>and</w:t>
        </w:r>
        <w:r w:rsidRPr="000F3293">
          <w:rPr>
            <w:rStyle w:val="-"/>
          </w:rPr>
          <w:t>_</w:t>
        </w:r>
        <w:r w:rsidRPr="000F3293">
          <w:rPr>
            <w:rStyle w:val="-"/>
            <w:lang w:val="en-US"/>
          </w:rPr>
          <w:t>Accounts</w:t>
        </w:r>
        <w:r w:rsidRPr="000F3293">
          <w:rPr>
            <w:rStyle w:val="-"/>
          </w:rPr>
          <w:t>_2024-25.</w:t>
        </w:r>
        <w:r w:rsidRPr="000F3293">
          <w:rPr>
            <w:rStyle w:val="-"/>
            <w:lang w:val="en-US"/>
          </w:rPr>
          <w:t>pdf</w:t>
        </w:r>
      </w:hyperlink>
      <w:r w:rsidRPr="000F3293">
        <w:t xml:space="preserve"> </w:t>
      </w:r>
    </w:p>
    <w:p w14:paraId="53F1968F" w14:textId="77777777" w:rsidR="008D6D7C" w:rsidRPr="000F3293" w:rsidRDefault="008D6D7C" w:rsidP="00D441B6">
      <w:pPr>
        <w:pStyle w:val="Web"/>
        <w:spacing w:line="360" w:lineRule="auto"/>
        <w:ind w:left="360"/>
        <w:jc w:val="both"/>
      </w:pPr>
      <w:r w:rsidRPr="000F3293">
        <w:rPr>
          <w:lang w:val="en-US"/>
        </w:rPr>
        <w:t xml:space="preserve">British Museum. (n.d.-a). </w:t>
      </w:r>
      <w:r w:rsidRPr="000F3293">
        <w:rPr>
          <w:i/>
          <w:iCs/>
          <w:lang w:val="en-US"/>
        </w:rPr>
        <w:t>Governance</w:t>
      </w:r>
      <w:r w:rsidRPr="000F3293">
        <w:t xml:space="preserve">. Ανακτήθηκε 12 Μαρτίου 2026 από </w:t>
      </w:r>
      <w:hyperlink r:id="rId22"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britishmuseum</w:t>
        </w:r>
        <w:proofErr w:type="spellEnd"/>
        <w:r w:rsidRPr="000F3293">
          <w:rPr>
            <w:rStyle w:val="-"/>
          </w:rPr>
          <w:t>.</w:t>
        </w:r>
        <w:r w:rsidRPr="000F3293">
          <w:rPr>
            <w:rStyle w:val="-"/>
            <w:lang w:val="en-US"/>
          </w:rPr>
          <w:t>org</w:t>
        </w:r>
        <w:r w:rsidRPr="000F3293">
          <w:rPr>
            <w:rStyle w:val="-"/>
          </w:rPr>
          <w:t>/</w:t>
        </w:r>
        <w:r w:rsidRPr="000F3293">
          <w:rPr>
            <w:rStyle w:val="-"/>
            <w:lang w:val="en-US"/>
          </w:rPr>
          <w:t>about</w:t>
        </w:r>
        <w:r w:rsidRPr="000F3293">
          <w:rPr>
            <w:rStyle w:val="-"/>
          </w:rPr>
          <w:t>-</w:t>
        </w:r>
        <w:r w:rsidRPr="000F3293">
          <w:rPr>
            <w:rStyle w:val="-"/>
            <w:lang w:val="en-US"/>
          </w:rPr>
          <w:t>us</w:t>
        </w:r>
        <w:r w:rsidRPr="000F3293">
          <w:rPr>
            <w:rStyle w:val="-"/>
          </w:rPr>
          <w:t>/</w:t>
        </w:r>
        <w:r w:rsidRPr="000F3293">
          <w:rPr>
            <w:rStyle w:val="-"/>
            <w:lang w:val="en-US"/>
          </w:rPr>
          <w:t>governance</w:t>
        </w:r>
      </w:hyperlink>
      <w:r w:rsidRPr="000F3293">
        <w:t xml:space="preserve"> </w:t>
      </w:r>
    </w:p>
    <w:p w14:paraId="7629D24C" w14:textId="77777777" w:rsidR="008D6D7C" w:rsidRPr="000F3293" w:rsidRDefault="008D6D7C" w:rsidP="00D441B6">
      <w:pPr>
        <w:pStyle w:val="Web"/>
        <w:spacing w:line="360" w:lineRule="auto"/>
        <w:ind w:left="360"/>
        <w:jc w:val="both"/>
        <w:rPr>
          <w:lang w:val="en-US"/>
        </w:rPr>
      </w:pPr>
      <w:r w:rsidRPr="000F3293">
        <w:rPr>
          <w:lang w:val="en-US"/>
        </w:rPr>
        <w:t xml:space="preserve">British Museum. (n.d.-b). </w:t>
      </w:r>
      <w:r w:rsidRPr="000F3293">
        <w:rPr>
          <w:i/>
          <w:iCs/>
          <w:lang w:val="en-US"/>
        </w:rPr>
        <w:t>The Parthenon Sculptures</w:t>
      </w:r>
      <w:r w:rsidRPr="000F3293">
        <w:rPr>
          <w:lang w:val="en-US"/>
        </w:rPr>
        <w:t xml:space="preserve">. </w:t>
      </w:r>
      <w:r w:rsidRPr="000F3293">
        <w:t>Ανακτήθηκε</w:t>
      </w:r>
      <w:r w:rsidRPr="000F3293">
        <w:rPr>
          <w:lang w:val="en-US"/>
        </w:rPr>
        <w:t xml:space="preserve"> 12 </w:t>
      </w:r>
      <w:r w:rsidRPr="000F3293">
        <w:t>Μαρτίου</w:t>
      </w:r>
      <w:r w:rsidRPr="000F3293">
        <w:rPr>
          <w:lang w:val="en-US"/>
        </w:rPr>
        <w:t xml:space="preserve"> 2026 </w:t>
      </w:r>
      <w:r w:rsidRPr="000F3293">
        <w:t>από</w:t>
      </w:r>
      <w:r w:rsidRPr="000F3293">
        <w:rPr>
          <w:lang w:val="en-US"/>
        </w:rPr>
        <w:t xml:space="preserve"> </w:t>
      </w:r>
      <w:hyperlink r:id="rId23" w:tgtFrame="_new" w:history="1">
        <w:r w:rsidRPr="000F3293">
          <w:rPr>
            <w:rStyle w:val="-"/>
            <w:lang w:val="en-US"/>
          </w:rPr>
          <w:t>https://www.britishmuseum.org/about-us/british-museum-story/contested-objects-collection/parthenon-sculptures</w:t>
        </w:r>
      </w:hyperlink>
      <w:r w:rsidRPr="000F3293">
        <w:rPr>
          <w:lang w:val="en-US"/>
        </w:rPr>
        <w:t xml:space="preserve"> </w:t>
      </w:r>
    </w:p>
    <w:p w14:paraId="3D75B275" w14:textId="77777777" w:rsidR="008D6D7C" w:rsidRPr="000F3293" w:rsidRDefault="008D6D7C" w:rsidP="00D441B6">
      <w:pPr>
        <w:pStyle w:val="Web"/>
        <w:spacing w:line="360" w:lineRule="auto"/>
        <w:ind w:left="360"/>
        <w:jc w:val="both"/>
      </w:pPr>
      <w:r w:rsidRPr="000F3293">
        <w:rPr>
          <w:lang w:val="en-US"/>
        </w:rPr>
        <w:t xml:space="preserve">British Museum. (n.d.-c). </w:t>
      </w:r>
      <w:r w:rsidRPr="000F3293">
        <w:rPr>
          <w:i/>
          <w:iCs/>
          <w:lang w:val="en-US"/>
        </w:rPr>
        <w:t>Parthenon Sculptures: The Trustees’ statement</w:t>
      </w:r>
      <w:r w:rsidRPr="000F3293">
        <w:rPr>
          <w:lang w:val="en-US"/>
        </w:rPr>
        <w:t xml:space="preserve">. </w:t>
      </w:r>
      <w:r w:rsidRPr="000F3293">
        <w:t xml:space="preserve">Ανακτήθηκε 12 Μαρτίου 2026 από </w:t>
      </w:r>
      <w:hyperlink r:id="rId24"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britishmuseum</w:t>
        </w:r>
        <w:proofErr w:type="spellEnd"/>
        <w:r w:rsidRPr="000F3293">
          <w:rPr>
            <w:rStyle w:val="-"/>
          </w:rPr>
          <w:t>.</w:t>
        </w:r>
        <w:r w:rsidRPr="000F3293">
          <w:rPr>
            <w:rStyle w:val="-"/>
            <w:lang w:val="en-US"/>
          </w:rPr>
          <w:t>org</w:t>
        </w:r>
        <w:r w:rsidRPr="000F3293">
          <w:rPr>
            <w:rStyle w:val="-"/>
          </w:rPr>
          <w:t>/</w:t>
        </w:r>
        <w:r w:rsidRPr="000F3293">
          <w:rPr>
            <w:rStyle w:val="-"/>
            <w:lang w:val="en-US"/>
          </w:rPr>
          <w:t>about</w:t>
        </w:r>
        <w:r w:rsidRPr="000F3293">
          <w:rPr>
            <w:rStyle w:val="-"/>
          </w:rPr>
          <w:t>-</w:t>
        </w:r>
        <w:r w:rsidRPr="000F3293">
          <w:rPr>
            <w:rStyle w:val="-"/>
            <w:lang w:val="en-US"/>
          </w:rPr>
          <w:t>us</w:t>
        </w:r>
        <w:r w:rsidRPr="000F3293">
          <w:rPr>
            <w:rStyle w:val="-"/>
          </w:rPr>
          <w:t>/</w:t>
        </w:r>
        <w:proofErr w:type="spellStart"/>
        <w:r w:rsidRPr="000F3293">
          <w:rPr>
            <w:rStyle w:val="-"/>
            <w:lang w:val="en-US"/>
          </w:rPr>
          <w:t>british</w:t>
        </w:r>
        <w:proofErr w:type="spellEnd"/>
        <w:r w:rsidRPr="000F3293">
          <w:rPr>
            <w:rStyle w:val="-"/>
          </w:rPr>
          <w:t>-</w:t>
        </w:r>
        <w:r w:rsidRPr="000F3293">
          <w:rPr>
            <w:rStyle w:val="-"/>
            <w:lang w:val="en-US"/>
          </w:rPr>
          <w:t>museum</w:t>
        </w:r>
        <w:r w:rsidRPr="000F3293">
          <w:rPr>
            <w:rStyle w:val="-"/>
          </w:rPr>
          <w:t>-</w:t>
        </w:r>
        <w:r w:rsidRPr="000F3293">
          <w:rPr>
            <w:rStyle w:val="-"/>
            <w:lang w:val="en-US"/>
          </w:rPr>
          <w:t>story</w:t>
        </w:r>
        <w:r w:rsidRPr="000F3293">
          <w:rPr>
            <w:rStyle w:val="-"/>
          </w:rPr>
          <w:t>/</w:t>
        </w:r>
        <w:r w:rsidRPr="000F3293">
          <w:rPr>
            <w:rStyle w:val="-"/>
            <w:lang w:val="en-US"/>
          </w:rPr>
          <w:t>contested</w:t>
        </w:r>
        <w:r w:rsidRPr="000F3293">
          <w:rPr>
            <w:rStyle w:val="-"/>
          </w:rPr>
          <w:t>-</w:t>
        </w:r>
        <w:r w:rsidRPr="000F3293">
          <w:rPr>
            <w:rStyle w:val="-"/>
            <w:lang w:val="en-US"/>
          </w:rPr>
          <w:t>objects</w:t>
        </w:r>
        <w:r w:rsidRPr="000F3293">
          <w:rPr>
            <w:rStyle w:val="-"/>
          </w:rPr>
          <w:t>-</w:t>
        </w:r>
        <w:r w:rsidRPr="000F3293">
          <w:rPr>
            <w:rStyle w:val="-"/>
            <w:lang w:val="en-US"/>
          </w:rPr>
          <w:t>collection</w:t>
        </w:r>
        <w:r w:rsidRPr="000F3293">
          <w:rPr>
            <w:rStyle w:val="-"/>
          </w:rPr>
          <w:t>/</w:t>
        </w:r>
        <w:proofErr w:type="spellStart"/>
        <w:r w:rsidRPr="000F3293">
          <w:rPr>
            <w:rStyle w:val="-"/>
            <w:lang w:val="en-US"/>
          </w:rPr>
          <w:t>parthenon</w:t>
        </w:r>
        <w:proofErr w:type="spellEnd"/>
        <w:r w:rsidRPr="000F3293">
          <w:rPr>
            <w:rStyle w:val="-"/>
          </w:rPr>
          <w:t>-</w:t>
        </w:r>
        <w:r w:rsidRPr="000F3293">
          <w:rPr>
            <w:rStyle w:val="-"/>
            <w:lang w:val="en-US"/>
          </w:rPr>
          <w:t>sculptures</w:t>
        </w:r>
        <w:r w:rsidRPr="000F3293">
          <w:rPr>
            <w:rStyle w:val="-"/>
          </w:rPr>
          <w:t>/</w:t>
        </w:r>
        <w:proofErr w:type="spellStart"/>
        <w:r w:rsidRPr="000F3293">
          <w:rPr>
            <w:rStyle w:val="-"/>
            <w:lang w:val="en-US"/>
          </w:rPr>
          <w:t>parthenon</w:t>
        </w:r>
        <w:proofErr w:type="spellEnd"/>
      </w:hyperlink>
      <w:r w:rsidRPr="000F3293">
        <w:t xml:space="preserve"> </w:t>
      </w:r>
    </w:p>
    <w:p w14:paraId="674C0E4A" w14:textId="77777777" w:rsidR="008D6D7C" w:rsidRPr="000F3293" w:rsidRDefault="008D6D7C" w:rsidP="00417A98">
      <w:pPr>
        <w:pStyle w:val="Web"/>
        <w:spacing w:line="360" w:lineRule="auto"/>
        <w:ind w:left="360"/>
        <w:jc w:val="both"/>
        <w:rPr>
          <w:lang w:val="en-US"/>
        </w:rPr>
      </w:pPr>
      <w:r w:rsidRPr="000F3293">
        <w:rPr>
          <w:lang w:val="en-US"/>
        </w:rPr>
        <w:t xml:space="preserve">Bursey, L. (2023). Colonial-looted cultural objects in England. </w:t>
      </w:r>
      <w:r w:rsidRPr="000F3293">
        <w:rPr>
          <w:rStyle w:val="a5"/>
          <w:lang w:val="en-US"/>
        </w:rPr>
        <w:t>Santander Art and Culture Law Review, 8</w:t>
      </w:r>
      <w:r w:rsidRPr="000F3293">
        <w:rPr>
          <w:lang w:val="en-US"/>
        </w:rPr>
        <w:t xml:space="preserve">(2), 341–354. </w:t>
      </w:r>
      <w:hyperlink r:id="rId25" w:history="1">
        <w:r w:rsidRPr="000F3293">
          <w:rPr>
            <w:rStyle w:val="-"/>
            <w:rFonts w:eastAsiaTheme="majorEastAsia"/>
            <w:lang w:val="en-US"/>
          </w:rPr>
          <w:t>https://doi.org/10.4467/2450050XSNR.22.031.17044</w:t>
        </w:r>
      </w:hyperlink>
      <w:r w:rsidRPr="000F3293">
        <w:rPr>
          <w:lang w:val="en-US"/>
        </w:rPr>
        <w:t xml:space="preserve"> </w:t>
      </w:r>
    </w:p>
    <w:p w14:paraId="6BCD1A47" w14:textId="77777777" w:rsidR="008D6D7C" w:rsidRPr="000F3293" w:rsidRDefault="008D6D7C" w:rsidP="00417A98">
      <w:pPr>
        <w:pStyle w:val="Web"/>
        <w:spacing w:line="360" w:lineRule="auto"/>
        <w:ind w:left="360"/>
        <w:jc w:val="both"/>
        <w:rPr>
          <w:lang w:val="en-US"/>
        </w:rPr>
      </w:pPr>
      <w:r w:rsidRPr="000F3293">
        <w:rPr>
          <w:lang w:val="en-US"/>
        </w:rPr>
        <w:t xml:space="preserve">Castells, M. (2009). </w:t>
      </w:r>
      <w:r w:rsidRPr="000F3293">
        <w:rPr>
          <w:rStyle w:val="a5"/>
          <w:lang w:val="en-US"/>
        </w:rPr>
        <w:t>Communication power</w:t>
      </w:r>
      <w:r w:rsidRPr="000F3293">
        <w:rPr>
          <w:lang w:val="en-US"/>
        </w:rPr>
        <w:t>. Oxford: Oxford University Press.</w:t>
      </w:r>
    </w:p>
    <w:p w14:paraId="3675F720" w14:textId="77777777" w:rsidR="008D6D7C" w:rsidRPr="000F3293" w:rsidRDefault="008D6D7C" w:rsidP="00417A98">
      <w:pPr>
        <w:pStyle w:val="Web"/>
        <w:spacing w:line="360" w:lineRule="auto"/>
        <w:ind w:left="360"/>
        <w:jc w:val="both"/>
        <w:rPr>
          <w:lang w:val="en-US"/>
        </w:rPr>
      </w:pPr>
      <w:r w:rsidRPr="000F3293">
        <w:rPr>
          <w:lang w:val="it-IT"/>
        </w:rPr>
        <w:lastRenderedPageBreak/>
        <w:t xml:space="preserve">Celani, J., De Luca, A., Pailli, G., Palandri, L., Pessina, A., &amp; Tarantini, M. (2022, June 17–18). </w:t>
      </w:r>
      <w:r w:rsidRPr="000F3293">
        <w:rPr>
          <w:rStyle w:val="a5"/>
          <w:lang w:val="en-US"/>
        </w:rPr>
        <w:t>The Italian law of cultural heritage: A dialogue with the United States</w:t>
      </w:r>
      <w:r w:rsidRPr="000F3293">
        <w:rPr>
          <w:lang w:val="en-US"/>
        </w:rPr>
        <w:t xml:space="preserve">. Conference held at Villa </w:t>
      </w:r>
      <w:proofErr w:type="spellStart"/>
      <w:r w:rsidRPr="000F3293">
        <w:rPr>
          <w:lang w:val="en-US"/>
        </w:rPr>
        <w:t>Ruspoli</w:t>
      </w:r>
      <w:proofErr w:type="spellEnd"/>
      <w:r w:rsidRPr="000F3293">
        <w:rPr>
          <w:lang w:val="en-US"/>
        </w:rPr>
        <w:t>, Florence, Italy.</w:t>
      </w:r>
    </w:p>
    <w:p w14:paraId="66965EAA" w14:textId="77777777" w:rsidR="008D6D7C" w:rsidRPr="000F3293" w:rsidRDefault="008D6D7C" w:rsidP="00D441B6">
      <w:pPr>
        <w:pStyle w:val="Web"/>
        <w:spacing w:line="360" w:lineRule="auto"/>
        <w:ind w:left="360"/>
        <w:jc w:val="both"/>
        <w:rPr>
          <w:lang w:val="en-US"/>
        </w:rPr>
      </w:pPr>
      <w:r w:rsidRPr="000F3293">
        <w:rPr>
          <w:i/>
          <w:iCs/>
          <w:lang w:val="en-US"/>
        </w:rPr>
        <w:t>Charities Act 2011</w:t>
      </w:r>
      <w:r w:rsidRPr="000F3293">
        <w:rPr>
          <w:lang w:val="en-US"/>
        </w:rPr>
        <w:t xml:space="preserve">, c. 25 (UK). </w:t>
      </w:r>
      <w:hyperlink r:id="rId26" w:tgtFrame="_new" w:history="1">
        <w:r w:rsidRPr="000F3293">
          <w:rPr>
            <w:rStyle w:val="-"/>
            <w:lang w:val="en-US"/>
          </w:rPr>
          <w:t>https://www.legislation.gov.uk/ukpga/2011/25/contents</w:t>
        </w:r>
      </w:hyperlink>
      <w:r w:rsidRPr="000F3293">
        <w:rPr>
          <w:lang w:val="en-US"/>
        </w:rPr>
        <w:t xml:space="preserve"> </w:t>
      </w:r>
    </w:p>
    <w:p w14:paraId="31BA8A02" w14:textId="77777777" w:rsidR="008D6D7C" w:rsidRPr="000F3293" w:rsidRDefault="008D6D7C" w:rsidP="00417A98">
      <w:pPr>
        <w:pStyle w:val="Web"/>
        <w:spacing w:line="360" w:lineRule="auto"/>
        <w:ind w:left="360"/>
        <w:jc w:val="both"/>
        <w:rPr>
          <w:lang w:val="en-US"/>
        </w:rPr>
      </w:pPr>
      <w:r w:rsidRPr="000F3293">
        <w:rPr>
          <w:lang w:val="en-US"/>
        </w:rPr>
        <w:t xml:space="preserve">Cleere, H. (1996). The concept of ‘outstanding universal value’ in the World Heritage Convention. </w:t>
      </w:r>
      <w:r w:rsidRPr="000F3293">
        <w:rPr>
          <w:rStyle w:val="a5"/>
          <w:lang w:val="en-US"/>
        </w:rPr>
        <w:t>Conservation and Management of Archaeological Sites, 1</w:t>
      </w:r>
      <w:r w:rsidRPr="000F3293">
        <w:rPr>
          <w:lang w:val="en-US"/>
        </w:rPr>
        <w:t xml:space="preserve">(4), 227–233. </w:t>
      </w:r>
      <w:hyperlink r:id="rId27" w:history="1">
        <w:r w:rsidRPr="000F3293">
          <w:rPr>
            <w:rStyle w:val="-"/>
            <w:rFonts w:eastAsiaTheme="majorEastAsia"/>
            <w:lang w:val="en-US"/>
          </w:rPr>
          <w:t>https://doi.org/10.1179/135050396793139042</w:t>
        </w:r>
      </w:hyperlink>
      <w:r w:rsidRPr="000F3293">
        <w:rPr>
          <w:lang w:val="en-US"/>
        </w:rPr>
        <w:t xml:space="preserve"> </w:t>
      </w:r>
    </w:p>
    <w:p w14:paraId="5C4D37EE" w14:textId="77777777" w:rsidR="008D6D7C" w:rsidRPr="000F3293" w:rsidRDefault="008D6D7C" w:rsidP="00417A98">
      <w:pPr>
        <w:pStyle w:val="Web"/>
        <w:spacing w:line="360" w:lineRule="auto"/>
        <w:ind w:left="360"/>
        <w:jc w:val="both"/>
        <w:rPr>
          <w:lang w:val="en-US"/>
        </w:rPr>
      </w:pPr>
      <w:r w:rsidRPr="000F3293">
        <w:rPr>
          <w:lang w:val="en-US"/>
        </w:rPr>
        <w:t xml:space="preserve">Cornu, M., &amp; Renold, M.-A. (2010). New developments in the restitution of cultural property: Alternative means of dispute resolution. </w:t>
      </w:r>
      <w:r w:rsidRPr="000F3293">
        <w:rPr>
          <w:rStyle w:val="a5"/>
          <w:lang w:val="en-US"/>
        </w:rPr>
        <w:t>International Journal of Cultural Property, 17</w:t>
      </w:r>
      <w:r w:rsidRPr="000F3293">
        <w:rPr>
          <w:lang w:val="en-US"/>
        </w:rPr>
        <w:t xml:space="preserve">(1), 1–31. </w:t>
      </w:r>
      <w:hyperlink r:id="rId28" w:history="1">
        <w:r w:rsidRPr="000F3293">
          <w:rPr>
            <w:rStyle w:val="-"/>
            <w:rFonts w:eastAsiaTheme="majorEastAsia"/>
            <w:lang w:val="en-US"/>
          </w:rPr>
          <w:t>https://doi.org/10.1017/S0940739110000044</w:t>
        </w:r>
      </w:hyperlink>
    </w:p>
    <w:p w14:paraId="19679110" w14:textId="77777777" w:rsidR="008D6D7C" w:rsidRPr="000F3293" w:rsidRDefault="008D6D7C">
      <w:pPr>
        <w:pStyle w:val="Web"/>
        <w:spacing w:line="360" w:lineRule="auto"/>
        <w:ind w:left="360"/>
        <w:jc w:val="both"/>
        <w:rPr>
          <w:lang w:val="en-US"/>
        </w:rPr>
      </w:pPr>
      <w:r w:rsidRPr="000F3293">
        <w:rPr>
          <w:lang w:val="en-US"/>
        </w:rPr>
        <w:t xml:space="preserve">Creswell, J. W., &amp; Poth, C. N. (2018). </w:t>
      </w:r>
      <w:r w:rsidRPr="000F3293">
        <w:rPr>
          <w:rStyle w:val="a5"/>
          <w:lang w:val="en-US"/>
        </w:rPr>
        <w:t>Qualitative inquiry and research design: Choosing among five approaches</w:t>
      </w:r>
      <w:r w:rsidRPr="000F3293">
        <w:rPr>
          <w:lang w:val="en-US"/>
        </w:rPr>
        <w:t xml:space="preserve"> (4th ed.). SAGE.</w:t>
      </w:r>
    </w:p>
    <w:p w14:paraId="3534BFFF" w14:textId="77777777" w:rsidR="008D6D7C" w:rsidRPr="000F3293" w:rsidRDefault="008D6D7C" w:rsidP="00417A98">
      <w:pPr>
        <w:spacing w:before="100" w:beforeAutospacing="1" w:after="100" w:afterAutospacing="1" w:line="360" w:lineRule="auto"/>
        <w:ind w:left="360"/>
        <w:jc w:val="both"/>
        <w:rPr>
          <w:rFonts w:cs="Times New Roman"/>
          <w:lang w:val="en-US"/>
        </w:rPr>
      </w:pPr>
      <w:r w:rsidRPr="000F3293">
        <w:rPr>
          <w:rFonts w:cs="Times New Roman"/>
          <w:lang w:val="en-US"/>
        </w:rPr>
        <w:t xml:space="preserve">Cull, N. (2008). </w:t>
      </w:r>
      <w:r w:rsidRPr="000F3293">
        <w:rPr>
          <w:rStyle w:val="a5"/>
          <w:rFonts w:cs="Times New Roman"/>
          <w:lang w:val="en-US"/>
        </w:rPr>
        <w:t>Public diplomacy: Lessons from the past</w:t>
      </w:r>
      <w:r w:rsidRPr="000F3293">
        <w:rPr>
          <w:rFonts w:cs="Times New Roman"/>
          <w:lang w:val="en-US"/>
        </w:rPr>
        <w:t>. Los Angeles: Figueroa Press.</w:t>
      </w:r>
    </w:p>
    <w:p w14:paraId="43B6616B" w14:textId="77777777" w:rsidR="008D6D7C" w:rsidRPr="000F3293" w:rsidRDefault="008D6D7C" w:rsidP="00417A98">
      <w:pPr>
        <w:spacing w:before="100" w:beforeAutospacing="1" w:after="100" w:afterAutospacing="1" w:line="360" w:lineRule="auto"/>
        <w:ind w:left="360"/>
        <w:jc w:val="both"/>
        <w:rPr>
          <w:rFonts w:cs="Times New Roman"/>
          <w:lang w:val="en-US"/>
        </w:rPr>
      </w:pPr>
      <w:r w:rsidRPr="000F3293">
        <w:rPr>
          <w:rFonts w:cs="Times New Roman"/>
          <w:lang w:val="en-US"/>
        </w:rPr>
        <w:t xml:space="preserve">Cuno, J. (2008). </w:t>
      </w:r>
      <w:r w:rsidRPr="000F3293">
        <w:rPr>
          <w:rStyle w:val="a5"/>
          <w:rFonts w:cs="Times New Roman"/>
          <w:lang w:val="en-US"/>
        </w:rPr>
        <w:t>Who owns antiquity? Museums and the battle over our ancient heritage</w:t>
      </w:r>
      <w:r w:rsidRPr="000F3293">
        <w:rPr>
          <w:rFonts w:cs="Times New Roman"/>
          <w:lang w:val="en-US"/>
        </w:rPr>
        <w:t>. Princeton University Press.</w:t>
      </w:r>
    </w:p>
    <w:p w14:paraId="46C42029" w14:textId="77777777" w:rsidR="008D6D7C" w:rsidRPr="000F3293" w:rsidRDefault="008D6D7C" w:rsidP="00417A98">
      <w:pPr>
        <w:pStyle w:val="Web"/>
        <w:spacing w:line="360" w:lineRule="auto"/>
        <w:ind w:left="360"/>
        <w:jc w:val="both"/>
        <w:rPr>
          <w:lang w:val="en-US"/>
        </w:rPr>
      </w:pPr>
      <w:r w:rsidRPr="000F3293">
        <w:rPr>
          <w:lang w:val="en-US"/>
        </w:rPr>
        <w:t xml:space="preserve">Cuno, J. B. (2011). </w:t>
      </w:r>
      <w:r w:rsidRPr="000F3293">
        <w:rPr>
          <w:i/>
          <w:iCs/>
          <w:lang w:val="en-US"/>
        </w:rPr>
        <w:t>Museums matter: In praise of the encyclopedic museum</w:t>
      </w:r>
      <w:r w:rsidRPr="000F3293">
        <w:rPr>
          <w:lang w:val="en-US"/>
        </w:rPr>
        <w:t>. University of Chicago Press.</w:t>
      </w:r>
    </w:p>
    <w:p w14:paraId="6D129A03" w14:textId="77777777" w:rsidR="008D6D7C" w:rsidRPr="000F3293" w:rsidRDefault="008D6D7C" w:rsidP="00417A98">
      <w:pPr>
        <w:spacing w:before="100" w:beforeAutospacing="1" w:after="100" w:afterAutospacing="1" w:line="360" w:lineRule="auto"/>
        <w:ind w:left="360"/>
        <w:jc w:val="both"/>
        <w:rPr>
          <w:rFonts w:cs="Times New Roman"/>
          <w:lang w:val="en-US"/>
        </w:rPr>
      </w:pPr>
      <w:r w:rsidRPr="000F3293">
        <w:rPr>
          <w:rFonts w:cs="Times New Roman"/>
          <w:lang w:val="en-US"/>
        </w:rPr>
        <w:t xml:space="preserve">Değirmenci, F., &amp; </w:t>
      </w:r>
      <w:proofErr w:type="spellStart"/>
      <w:r w:rsidRPr="000F3293">
        <w:rPr>
          <w:rFonts w:cs="Times New Roman"/>
          <w:lang w:val="en-US"/>
        </w:rPr>
        <w:t>Terzioğlu</w:t>
      </w:r>
      <w:proofErr w:type="spellEnd"/>
      <w:r w:rsidRPr="000F3293">
        <w:rPr>
          <w:rFonts w:cs="Times New Roman"/>
          <w:lang w:val="en-US"/>
        </w:rPr>
        <w:t xml:space="preserve">, E. (2022). A digital diplomacy irony: Donald Trump. </w:t>
      </w:r>
      <w:r w:rsidRPr="000F3293">
        <w:rPr>
          <w:rStyle w:val="a5"/>
          <w:rFonts w:cs="Times New Roman"/>
          <w:lang w:val="en-US"/>
        </w:rPr>
        <w:t>OPUS–Journal of Society Research, 19</w:t>
      </w:r>
      <w:r w:rsidRPr="000F3293">
        <w:rPr>
          <w:rFonts w:cs="Times New Roman"/>
          <w:lang w:val="en-US"/>
        </w:rPr>
        <w:t xml:space="preserve">(47), 490–505. </w:t>
      </w:r>
      <w:hyperlink r:id="rId29" w:history="1">
        <w:r w:rsidRPr="000F3293">
          <w:rPr>
            <w:rStyle w:val="-"/>
            <w:rFonts w:cs="Times New Roman"/>
            <w:color w:val="2739C1"/>
            <w:shd w:val="clear" w:color="auto" w:fill="FFFFFF"/>
            <w:lang w:val="en-US"/>
          </w:rPr>
          <w:t>https://doi.org/10.26466/opusjsr.1096048</w:t>
        </w:r>
      </w:hyperlink>
      <w:r w:rsidRPr="000F3293">
        <w:rPr>
          <w:rFonts w:cs="Times New Roman"/>
          <w:lang w:val="en-US"/>
        </w:rPr>
        <w:t xml:space="preserve"> </w:t>
      </w:r>
    </w:p>
    <w:p w14:paraId="7DAB4C1D" w14:textId="77777777" w:rsidR="008D6D7C" w:rsidRPr="000F3293" w:rsidRDefault="008D6D7C" w:rsidP="00417A98">
      <w:pPr>
        <w:spacing w:before="100" w:beforeAutospacing="1" w:after="100" w:afterAutospacing="1" w:line="360" w:lineRule="auto"/>
        <w:ind w:left="360"/>
        <w:jc w:val="both"/>
        <w:rPr>
          <w:rFonts w:eastAsia="Times New Roman" w:cs="Times New Roman"/>
          <w:kern w:val="0"/>
          <w:szCs w:val="24"/>
          <w:lang w:val="en-US"/>
          <w14:ligatures w14:val="none"/>
        </w:rPr>
      </w:pPr>
      <w:r w:rsidRPr="000F3293">
        <w:rPr>
          <w:rFonts w:cs="Times New Roman"/>
          <w:lang w:val="en-US"/>
        </w:rPr>
        <w:t xml:space="preserve">Errickson, E. L. (2015). The culture in cultural property: Expanding legal advocacy. </w:t>
      </w:r>
      <w:r w:rsidRPr="000F3293">
        <w:rPr>
          <w:rStyle w:val="a5"/>
          <w:rFonts w:cs="Times New Roman"/>
          <w:lang w:val="en-US"/>
        </w:rPr>
        <w:t>Heritage &amp; Society, 8</w:t>
      </w:r>
      <w:r w:rsidRPr="000F3293">
        <w:rPr>
          <w:rFonts w:cs="Times New Roman"/>
          <w:lang w:val="en-US"/>
        </w:rPr>
        <w:t xml:space="preserve">(2), 97–110. </w:t>
      </w:r>
      <w:hyperlink r:id="rId30" w:history="1">
        <w:r w:rsidRPr="000F3293">
          <w:rPr>
            <w:rStyle w:val="-"/>
            <w:rFonts w:cs="Times New Roman"/>
            <w:lang w:val="en-US"/>
          </w:rPr>
          <w:t>https://doi.org/10.1080/2159032X.2015.1126116</w:t>
        </w:r>
      </w:hyperlink>
      <w:r w:rsidRPr="000F3293">
        <w:rPr>
          <w:rFonts w:cs="Times New Roman"/>
          <w:lang w:val="en-US"/>
        </w:rPr>
        <w:t xml:space="preserve"> </w:t>
      </w:r>
    </w:p>
    <w:p w14:paraId="2F93EB73" w14:textId="77777777" w:rsidR="008D6D7C" w:rsidRPr="000F3293" w:rsidRDefault="008D6D7C" w:rsidP="00417A98">
      <w:pPr>
        <w:pStyle w:val="Web"/>
        <w:spacing w:line="360" w:lineRule="auto"/>
        <w:ind w:left="360"/>
        <w:jc w:val="both"/>
        <w:rPr>
          <w:lang w:val="en-US"/>
        </w:rPr>
      </w:pPr>
      <w:r w:rsidRPr="000F3293">
        <w:rPr>
          <w:lang w:val="en-US"/>
        </w:rPr>
        <w:t xml:space="preserve">Fine-Dare, K. (2002). </w:t>
      </w:r>
      <w:r w:rsidRPr="000F3293">
        <w:rPr>
          <w:rStyle w:val="a5"/>
          <w:lang w:val="en-US"/>
        </w:rPr>
        <w:t>Grave injustice: The American Indian repatriation movement and NAGPRA</w:t>
      </w:r>
      <w:r w:rsidRPr="000F3293">
        <w:rPr>
          <w:lang w:val="en-US"/>
        </w:rPr>
        <w:t>. Lincoln: University of Nebraska Press.</w:t>
      </w:r>
    </w:p>
    <w:p w14:paraId="58BC5871" w14:textId="77777777" w:rsidR="008D6D7C" w:rsidRPr="000F3293" w:rsidRDefault="008D6D7C" w:rsidP="00417A98">
      <w:pPr>
        <w:pStyle w:val="Web"/>
        <w:spacing w:line="360" w:lineRule="auto"/>
        <w:ind w:left="360"/>
        <w:jc w:val="both"/>
        <w:rPr>
          <w:lang w:val="en-US"/>
        </w:rPr>
      </w:pPr>
      <w:r w:rsidRPr="000F3293">
        <w:rPr>
          <w:lang w:val="en-US"/>
        </w:rPr>
        <w:lastRenderedPageBreak/>
        <w:t xml:space="preserve">Forrest, C. (2010). </w:t>
      </w:r>
      <w:r w:rsidRPr="000F3293">
        <w:rPr>
          <w:rStyle w:val="a5"/>
          <w:lang w:val="en-US"/>
        </w:rPr>
        <w:t>International law and the protection of cultural heritage</w:t>
      </w:r>
      <w:r w:rsidRPr="000F3293">
        <w:rPr>
          <w:lang w:val="en-US"/>
        </w:rPr>
        <w:t>. London: Routledge.</w:t>
      </w:r>
    </w:p>
    <w:p w14:paraId="4C99D3B2" w14:textId="77777777" w:rsidR="008D6D7C" w:rsidRPr="000F3293" w:rsidRDefault="008D6D7C">
      <w:pPr>
        <w:pStyle w:val="Web"/>
        <w:spacing w:line="360" w:lineRule="auto"/>
        <w:ind w:left="360"/>
        <w:jc w:val="both"/>
        <w:rPr>
          <w:lang w:val="en-US"/>
        </w:rPr>
      </w:pPr>
      <w:proofErr w:type="spellStart"/>
      <w:r w:rsidRPr="000F3293">
        <w:rPr>
          <w:lang w:val="en-US"/>
        </w:rPr>
        <w:t>Fouseki</w:t>
      </w:r>
      <w:proofErr w:type="spellEnd"/>
      <w:r w:rsidRPr="000F3293">
        <w:rPr>
          <w:lang w:val="en-US"/>
        </w:rPr>
        <w:t xml:space="preserve">, K. (2006). Conflicting discourses on the construction of the New Acropolis Museum: Past and present. </w:t>
      </w:r>
      <w:r w:rsidRPr="000F3293">
        <w:rPr>
          <w:rStyle w:val="a5"/>
          <w:lang w:val="en-US"/>
        </w:rPr>
        <w:t>European Review of History, 13</w:t>
      </w:r>
      <w:r w:rsidRPr="000F3293">
        <w:rPr>
          <w:lang w:val="en-US"/>
        </w:rPr>
        <w:t xml:space="preserve">(4), 533–548. </w:t>
      </w:r>
      <w:hyperlink r:id="rId31" w:history="1">
        <w:r w:rsidRPr="000F3293">
          <w:rPr>
            <w:rStyle w:val="-"/>
            <w:lang w:val="en-US"/>
          </w:rPr>
          <w:t>https://doi.org/10.1080/13507480601049203</w:t>
        </w:r>
      </w:hyperlink>
    </w:p>
    <w:p w14:paraId="445B3C0A" w14:textId="77777777" w:rsidR="008D6D7C" w:rsidRPr="000F3293" w:rsidRDefault="008D6D7C" w:rsidP="00417A98">
      <w:pPr>
        <w:spacing w:line="360" w:lineRule="auto"/>
        <w:ind w:left="360"/>
        <w:jc w:val="both"/>
        <w:rPr>
          <w:rFonts w:eastAsia="Times New Roman" w:cs="Times New Roman"/>
          <w:kern w:val="0"/>
          <w:szCs w:val="24"/>
          <w:lang w:val="en-US"/>
          <w14:ligatures w14:val="none"/>
        </w:rPr>
      </w:pPr>
      <w:r w:rsidRPr="000F3293">
        <w:rPr>
          <w:rFonts w:eastAsia="Times New Roman" w:cs="Times New Roman"/>
          <w:kern w:val="0"/>
          <w:szCs w:val="24"/>
          <w:lang w:val="en-US"/>
          <w14:ligatures w14:val="none"/>
        </w:rPr>
        <w:t xml:space="preserve">Gazi, A. (1990). Museums and national cultural property II. The Parthenon marbles. </w:t>
      </w:r>
      <w:r w:rsidRPr="000F3293">
        <w:rPr>
          <w:rFonts w:eastAsia="Times New Roman" w:cs="Times New Roman"/>
          <w:i/>
          <w:iCs/>
          <w:kern w:val="0"/>
          <w:szCs w:val="24"/>
          <w:lang w:val="en-US"/>
          <w14:ligatures w14:val="none"/>
        </w:rPr>
        <w:t>Museum Management and Curatorship, 9</w:t>
      </w:r>
      <w:r w:rsidRPr="000F3293">
        <w:rPr>
          <w:rFonts w:eastAsia="Times New Roman" w:cs="Times New Roman"/>
          <w:kern w:val="0"/>
          <w:szCs w:val="24"/>
          <w:lang w:val="en-US"/>
          <w14:ligatures w14:val="none"/>
        </w:rPr>
        <w:t xml:space="preserve">(3), 241-255. </w:t>
      </w:r>
      <w:hyperlink r:id="rId32" w:history="1">
        <w:r w:rsidRPr="000F3293">
          <w:rPr>
            <w:rStyle w:val="-"/>
            <w:rFonts w:eastAsia="Times New Roman" w:cs="Times New Roman"/>
            <w:kern w:val="0"/>
            <w:szCs w:val="24"/>
            <w:lang w:val="en-US"/>
            <w14:ligatures w14:val="none"/>
          </w:rPr>
          <w:t>https://doi.org/10.1080/09647779009515214</w:t>
        </w:r>
      </w:hyperlink>
      <w:r w:rsidRPr="000F3293">
        <w:rPr>
          <w:rFonts w:eastAsia="Times New Roman" w:cs="Times New Roman"/>
          <w:kern w:val="0"/>
          <w:szCs w:val="24"/>
          <w:lang w:val="en-US"/>
          <w14:ligatures w14:val="none"/>
        </w:rPr>
        <w:t xml:space="preserve"> </w:t>
      </w:r>
    </w:p>
    <w:p w14:paraId="7B1B2671" w14:textId="77777777" w:rsidR="008D6D7C" w:rsidRPr="000F3293" w:rsidRDefault="008D6D7C" w:rsidP="00417A98">
      <w:pPr>
        <w:spacing w:line="360" w:lineRule="auto"/>
        <w:ind w:left="360"/>
        <w:jc w:val="both"/>
        <w:rPr>
          <w:rFonts w:cs="Times New Roman"/>
          <w:color w:val="212529"/>
          <w:shd w:val="clear" w:color="auto" w:fill="FFFFFF"/>
          <w:lang w:val="en-US"/>
        </w:rPr>
      </w:pPr>
      <w:r w:rsidRPr="000F3293">
        <w:rPr>
          <w:rFonts w:cs="Times New Roman"/>
          <w:lang w:val="en-US"/>
        </w:rPr>
        <w:t xml:space="preserve">Gray, C. (2015). </w:t>
      </w:r>
      <w:r w:rsidRPr="000F3293">
        <w:rPr>
          <w:rStyle w:val="a5"/>
          <w:rFonts w:cs="Times New Roman"/>
          <w:lang w:val="en-US"/>
        </w:rPr>
        <w:t>The politics of museums</w:t>
      </w:r>
      <w:r w:rsidRPr="000F3293">
        <w:rPr>
          <w:rFonts w:cs="Times New Roman"/>
          <w:lang w:val="en-US"/>
        </w:rPr>
        <w:t>. Basingstoke: Palgrave Macmillan.</w:t>
      </w:r>
    </w:p>
    <w:p w14:paraId="5B9EC2F2" w14:textId="77777777" w:rsidR="008D6D7C" w:rsidRPr="000F3293" w:rsidRDefault="008D6D7C" w:rsidP="00417A98">
      <w:pPr>
        <w:pStyle w:val="Web"/>
        <w:spacing w:line="360" w:lineRule="auto"/>
        <w:ind w:left="360"/>
        <w:jc w:val="both"/>
        <w:rPr>
          <w:lang w:val="en-US"/>
        </w:rPr>
      </w:pPr>
      <w:r w:rsidRPr="000F3293">
        <w:rPr>
          <w:lang w:val="en-US"/>
        </w:rPr>
        <w:t xml:space="preserve">Greenfield, J. (2007). </w:t>
      </w:r>
      <w:r w:rsidRPr="000F3293">
        <w:rPr>
          <w:rStyle w:val="a5"/>
          <w:lang w:val="en-US"/>
        </w:rPr>
        <w:t>The return of cultural treasures</w:t>
      </w:r>
      <w:r w:rsidRPr="000F3293">
        <w:rPr>
          <w:lang w:val="en-US"/>
        </w:rPr>
        <w:t>. Cambridge: Cambridge University Press.</w:t>
      </w:r>
    </w:p>
    <w:p w14:paraId="74A9AE87" w14:textId="77777777" w:rsidR="008D6D7C" w:rsidRPr="000F3293" w:rsidRDefault="008D6D7C" w:rsidP="00417A98">
      <w:pPr>
        <w:spacing w:line="360" w:lineRule="auto"/>
        <w:ind w:left="360"/>
        <w:jc w:val="both"/>
        <w:rPr>
          <w:rFonts w:cs="Times New Roman"/>
          <w:color w:val="212529"/>
          <w:shd w:val="clear" w:color="auto" w:fill="FFFFFF"/>
          <w:lang w:val="en-US"/>
        </w:rPr>
      </w:pPr>
      <w:r w:rsidRPr="000F3293">
        <w:rPr>
          <w:rFonts w:cs="Times New Roman"/>
          <w:lang w:val="en-US"/>
        </w:rPr>
        <w:t xml:space="preserve">Grincheva, N. (2024). The past and future of cultural diplomacy. </w:t>
      </w:r>
      <w:r w:rsidRPr="000F3293">
        <w:rPr>
          <w:rStyle w:val="a5"/>
          <w:rFonts w:cs="Times New Roman"/>
          <w:lang w:val="en-US"/>
        </w:rPr>
        <w:t>International Journal of Cultural Policy, 30</w:t>
      </w:r>
      <w:r w:rsidRPr="000F3293">
        <w:rPr>
          <w:rFonts w:cs="Times New Roman"/>
          <w:lang w:val="en-US"/>
        </w:rPr>
        <w:t>(2), 172–</w:t>
      </w:r>
      <w:r w:rsidRPr="000F3293">
        <w:rPr>
          <w:rFonts w:cs="Times New Roman"/>
          <w:szCs w:val="24"/>
          <w:lang w:val="en-US"/>
        </w:rPr>
        <w:t xml:space="preserve">179. </w:t>
      </w:r>
      <w:hyperlink r:id="rId33" w:history="1">
        <w:r w:rsidRPr="000F3293">
          <w:rPr>
            <w:rStyle w:val="-"/>
            <w:rFonts w:cs="Times New Roman"/>
            <w:szCs w:val="24"/>
            <w:shd w:val="clear" w:color="auto" w:fill="FFFFFF"/>
            <w:lang w:val="en-US"/>
          </w:rPr>
          <w:t>https://doi.org/10.1080/10286632.2023.2183949</w:t>
        </w:r>
      </w:hyperlink>
      <w:r w:rsidRPr="000F3293">
        <w:rPr>
          <w:rFonts w:cs="Times New Roman"/>
          <w:color w:val="232323"/>
          <w:sz w:val="21"/>
          <w:szCs w:val="21"/>
          <w:shd w:val="clear" w:color="auto" w:fill="FFFFFF"/>
          <w:lang w:val="en-US"/>
        </w:rPr>
        <w:t xml:space="preserve"> </w:t>
      </w:r>
    </w:p>
    <w:p w14:paraId="2C997179" w14:textId="77777777" w:rsidR="008D6D7C" w:rsidRPr="000F3293" w:rsidRDefault="008D6D7C" w:rsidP="00417A98">
      <w:pPr>
        <w:spacing w:before="100" w:beforeAutospacing="1" w:after="100" w:afterAutospacing="1" w:line="360" w:lineRule="auto"/>
        <w:ind w:left="360"/>
        <w:jc w:val="both"/>
        <w:rPr>
          <w:rFonts w:cs="Times New Roman"/>
          <w:lang w:val="en-US"/>
        </w:rPr>
      </w:pPr>
      <w:r w:rsidRPr="000F3293">
        <w:rPr>
          <w:rFonts w:cs="Times New Roman"/>
          <w:lang w:val="en-US"/>
        </w:rPr>
        <w:t xml:space="preserve">Halfin, S. (1995). The legal protection of cultural property in Britain: Past, present and future. </w:t>
      </w:r>
      <w:r w:rsidRPr="000F3293">
        <w:rPr>
          <w:rStyle w:val="a5"/>
          <w:rFonts w:cs="Times New Roman"/>
          <w:lang w:val="en-US"/>
        </w:rPr>
        <w:t>DePaul Journal of Art, Technology &amp; Intellectual Property Law, 6</w:t>
      </w:r>
      <w:r w:rsidRPr="000F3293">
        <w:rPr>
          <w:rFonts w:cs="Times New Roman"/>
          <w:lang w:val="en-US"/>
        </w:rPr>
        <w:t xml:space="preserve">(1), 1–25. </w:t>
      </w:r>
      <w:r w:rsidRPr="000F3293">
        <w:t>Ανακτήθηκε</w:t>
      </w:r>
      <w:r w:rsidRPr="000F3293">
        <w:rPr>
          <w:lang w:val="en-US"/>
        </w:rPr>
        <w:t xml:space="preserve"> 12 </w:t>
      </w:r>
      <w:r w:rsidRPr="000F3293">
        <w:t>Μαρτίου</w:t>
      </w:r>
      <w:r w:rsidRPr="000F3293">
        <w:rPr>
          <w:lang w:val="en-US"/>
        </w:rPr>
        <w:t xml:space="preserve"> 2026 </w:t>
      </w:r>
      <w:r w:rsidRPr="000F3293">
        <w:t>από</w:t>
      </w:r>
      <w:r w:rsidRPr="000F3293">
        <w:rPr>
          <w:lang w:val="en-US"/>
        </w:rPr>
        <w:t xml:space="preserve"> </w:t>
      </w:r>
      <w:hyperlink r:id="rId34" w:history="1">
        <w:r w:rsidRPr="000F3293">
          <w:rPr>
            <w:rStyle w:val="-"/>
            <w:rFonts w:cs="Times New Roman"/>
            <w:lang w:val="en-US"/>
          </w:rPr>
          <w:t>https://via.library.depaul.edu/jatip/vol6/iss1/2</w:t>
        </w:r>
      </w:hyperlink>
      <w:r w:rsidRPr="000F3293">
        <w:rPr>
          <w:rFonts w:cs="Times New Roman"/>
          <w:lang w:val="en-US"/>
        </w:rPr>
        <w:t xml:space="preserve">  </w:t>
      </w:r>
    </w:p>
    <w:p w14:paraId="15A2EF53" w14:textId="77777777" w:rsidR="008D6D7C" w:rsidRPr="000F3293" w:rsidRDefault="008D6D7C" w:rsidP="00417A98">
      <w:pPr>
        <w:pStyle w:val="Web"/>
        <w:spacing w:line="360" w:lineRule="auto"/>
        <w:ind w:left="360"/>
        <w:jc w:val="both"/>
        <w:rPr>
          <w:lang w:val="en-US"/>
        </w:rPr>
      </w:pPr>
      <w:r w:rsidRPr="000F3293">
        <w:rPr>
          <w:lang w:val="en-US"/>
        </w:rPr>
        <w:t xml:space="preserve">Hamilakis, Y. (1999). Stories from exile: Fragments from the cultural biography of the Parthenon (or ‘Elgin’) marbles. </w:t>
      </w:r>
      <w:r w:rsidRPr="000F3293">
        <w:rPr>
          <w:rStyle w:val="a5"/>
          <w:lang w:val="en-US"/>
        </w:rPr>
        <w:t>World Archaeology, 31</w:t>
      </w:r>
      <w:r w:rsidRPr="000F3293">
        <w:rPr>
          <w:lang w:val="en-US"/>
        </w:rPr>
        <w:t xml:space="preserve">(2), 303–320. </w:t>
      </w:r>
      <w:hyperlink r:id="rId35" w:history="1">
        <w:r w:rsidRPr="000F3293">
          <w:rPr>
            <w:rStyle w:val="-"/>
            <w:rFonts w:eastAsiaTheme="majorEastAsia"/>
            <w:lang w:val="en-US"/>
          </w:rPr>
          <w:t>https://doi.org/10.1080/00438243.1999.9980448</w:t>
        </w:r>
      </w:hyperlink>
    </w:p>
    <w:p w14:paraId="26C3F7C1" w14:textId="77777777" w:rsidR="008D6D7C" w:rsidRPr="000F3293" w:rsidRDefault="008D6D7C" w:rsidP="00417A98">
      <w:pPr>
        <w:pStyle w:val="Web"/>
        <w:spacing w:line="360" w:lineRule="auto"/>
        <w:ind w:left="360"/>
        <w:jc w:val="both"/>
        <w:rPr>
          <w:lang w:val="en-US"/>
        </w:rPr>
      </w:pPr>
      <w:r w:rsidRPr="000F3293">
        <w:rPr>
          <w:lang w:val="en-US"/>
        </w:rPr>
        <w:t xml:space="preserve">Harrison, R. (2013). </w:t>
      </w:r>
      <w:r w:rsidRPr="000F3293">
        <w:rPr>
          <w:rStyle w:val="a5"/>
          <w:lang w:val="en-US"/>
        </w:rPr>
        <w:t>Heritage: Critical approaches</w:t>
      </w:r>
      <w:r w:rsidRPr="000F3293">
        <w:rPr>
          <w:lang w:val="en-US"/>
        </w:rPr>
        <w:t>. London: Routledge.</w:t>
      </w:r>
    </w:p>
    <w:p w14:paraId="47046E38" w14:textId="77777777" w:rsidR="008D6D7C" w:rsidRPr="000F3293" w:rsidRDefault="008D6D7C" w:rsidP="00417A98">
      <w:pPr>
        <w:pStyle w:val="Web"/>
        <w:spacing w:line="360" w:lineRule="auto"/>
        <w:ind w:left="360"/>
        <w:jc w:val="both"/>
      </w:pPr>
      <w:r w:rsidRPr="000F3293">
        <w:rPr>
          <w:lang w:val="en-US"/>
        </w:rPr>
        <w:t xml:space="preserve">Hellas Journal. (2024, 11 </w:t>
      </w:r>
      <w:r w:rsidRPr="000F3293">
        <w:t>Νοεμβρίου</w:t>
      </w:r>
      <w:r w:rsidRPr="000F3293">
        <w:rPr>
          <w:lang w:val="en-US"/>
        </w:rPr>
        <w:t xml:space="preserve">). </w:t>
      </w:r>
      <w:r w:rsidRPr="000F3293">
        <w:t xml:space="preserve">Νεφερτίτη, τα «Ελγίνεια» της Αιγύπτου: Η εκστρατεία για την επιστροφή της από την Γερμανία, σύμβολο για ανάκτηση αρχαιοτήτων που κλάπηκαν από την αποικιοκρατία. </w:t>
      </w:r>
      <w:r w:rsidRPr="000F3293">
        <w:rPr>
          <w:rStyle w:val="a5"/>
          <w:lang w:val="en-US"/>
        </w:rPr>
        <w:t>Hellas</w:t>
      </w:r>
      <w:r w:rsidRPr="000F3293">
        <w:rPr>
          <w:rStyle w:val="a5"/>
        </w:rPr>
        <w:t xml:space="preserve"> </w:t>
      </w:r>
      <w:r w:rsidRPr="000F3293">
        <w:rPr>
          <w:rStyle w:val="a5"/>
          <w:lang w:val="en-US"/>
        </w:rPr>
        <w:t>Journal</w:t>
      </w:r>
      <w:r w:rsidRPr="000F3293">
        <w:t xml:space="preserve">. Ανακτήθηκε 1 Απριλίου 2026 από </w:t>
      </w:r>
      <w:hyperlink r:id="rId36" w:history="1">
        <w:r w:rsidRPr="000F3293">
          <w:rPr>
            <w:rStyle w:val="-"/>
            <w:rFonts w:eastAsiaTheme="majorEastAsia"/>
            <w:lang w:val="en-US"/>
          </w:rPr>
          <w:t>https</w:t>
        </w:r>
        <w:r w:rsidRPr="000F3293">
          <w:rPr>
            <w:rStyle w:val="-"/>
            <w:rFonts w:eastAsiaTheme="majorEastAsia"/>
          </w:rPr>
          <w:t>://</w:t>
        </w:r>
        <w:proofErr w:type="spellStart"/>
        <w:r w:rsidRPr="000F3293">
          <w:rPr>
            <w:rStyle w:val="-"/>
            <w:rFonts w:eastAsiaTheme="majorEastAsia"/>
            <w:lang w:val="en-US"/>
          </w:rPr>
          <w:t>hellasjournal</w:t>
        </w:r>
        <w:proofErr w:type="spellEnd"/>
        <w:r w:rsidRPr="000F3293">
          <w:rPr>
            <w:rStyle w:val="-"/>
            <w:rFonts w:eastAsiaTheme="majorEastAsia"/>
          </w:rPr>
          <w:t>.</w:t>
        </w:r>
        <w:r w:rsidRPr="000F3293">
          <w:rPr>
            <w:rStyle w:val="-"/>
            <w:rFonts w:eastAsiaTheme="majorEastAsia"/>
            <w:lang w:val="en-US"/>
          </w:rPr>
          <w:t>com</w:t>
        </w:r>
        <w:r w:rsidRPr="000F3293">
          <w:rPr>
            <w:rStyle w:val="-"/>
            <w:rFonts w:eastAsiaTheme="majorEastAsia"/>
          </w:rPr>
          <w:t>/2024/11/</w:t>
        </w:r>
        <w:proofErr w:type="spellStart"/>
        <w:r w:rsidRPr="000F3293">
          <w:rPr>
            <w:rStyle w:val="-"/>
            <w:rFonts w:eastAsiaTheme="majorEastAsia"/>
            <w:lang w:val="en-US"/>
          </w:rPr>
          <w:t>nefertiti</w:t>
        </w:r>
        <w:proofErr w:type="spellEnd"/>
        <w:r w:rsidRPr="000F3293">
          <w:rPr>
            <w:rStyle w:val="-"/>
            <w:rFonts w:eastAsiaTheme="majorEastAsia"/>
          </w:rPr>
          <w:t>-</w:t>
        </w:r>
        <w:r w:rsidRPr="000F3293">
          <w:rPr>
            <w:rStyle w:val="-"/>
            <w:rFonts w:eastAsiaTheme="majorEastAsia"/>
            <w:lang w:val="en-US"/>
          </w:rPr>
          <w:t>ta</w:t>
        </w:r>
        <w:r w:rsidRPr="000F3293">
          <w:rPr>
            <w:rStyle w:val="-"/>
            <w:rFonts w:eastAsiaTheme="majorEastAsia"/>
          </w:rPr>
          <w:t>-</w:t>
        </w:r>
        <w:proofErr w:type="spellStart"/>
        <w:r w:rsidRPr="000F3293">
          <w:rPr>
            <w:rStyle w:val="-"/>
            <w:rFonts w:eastAsiaTheme="majorEastAsia"/>
            <w:lang w:val="en-US"/>
          </w:rPr>
          <w:t>elginia</w:t>
        </w:r>
        <w:proofErr w:type="spellEnd"/>
        <w:r w:rsidRPr="000F3293">
          <w:rPr>
            <w:rStyle w:val="-"/>
            <w:rFonts w:eastAsiaTheme="majorEastAsia"/>
          </w:rPr>
          <w:t>-</w:t>
        </w:r>
        <w:r w:rsidRPr="000F3293">
          <w:rPr>
            <w:rStyle w:val="-"/>
            <w:rFonts w:eastAsiaTheme="majorEastAsia"/>
            <w:lang w:val="en-US"/>
          </w:rPr>
          <w:t>tis</w:t>
        </w:r>
        <w:r w:rsidRPr="000F3293">
          <w:rPr>
            <w:rStyle w:val="-"/>
            <w:rFonts w:eastAsiaTheme="majorEastAsia"/>
          </w:rPr>
          <w:t>-</w:t>
        </w:r>
        <w:proofErr w:type="spellStart"/>
        <w:r w:rsidRPr="000F3293">
          <w:rPr>
            <w:rStyle w:val="-"/>
            <w:rFonts w:eastAsiaTheme="majorEastAsia"/>
            <w:lang w:val="en-US"/>
          </w:rPr>
          <w:t>egiptou</w:t>
        </w:r>
        <w:proofErr w:type="spellEnd"/>
        <w:r w:rsidRPr="000F3293">
          <w:rPr>
            <w:rStyle w:val="-"/>
            <w:rFonts w:eastAsiaTheme="majorEastAsia"/>
          </w:rPr>
          <w:t>-</w:t>
        </w:r>
        <w:proofErr w:type="spellStart"/>
        <w:r w:rsidRPr="000F3293">
          <w:rPr>
            <w:rStyle w:val="-"/>
            <w:rFonts w:eastAsiaTheme="majorEastAsia"/>
            <w:lang w:val="en-US"/>
          </w:rPr>
          <w:t>i</w:t>
        </w:r>
        <w:proofErr w:type="spellEnd"/>
        <w:r w:rsidRPr="000F3293">
          <w:rPr>
            <w:rStyle w:val="-"/>
            <w:rFonts w:eastAsiaTheme="majorEastAsia"/>
          </w:rPr>
          <w:t>-</w:t>
        </w:r>
        <w:proofErr w:type="spellStart"/>
        <w:r w:rsidRPr="000F3293">
          <w:rPr>
            <w:rStyle w:val="-"/>
            <w:rFonts w:eastAsiaTheme="majorEastAsia"/>
            <w:lang w:val="en-US"/>
          </w:rPr>
          <w:t>ekstratia</w:t>
        </w:r>
        <w:proofErr w:type="spellEnd"/>
        <w:r w:rsidRPr="000F3293">
          <w:rPr>
            <w:rStyle w:val="-"/>
            <w:rFonts w:eastAsiaTheme="majorEastAsia"/>
          </w:rPr>
          <w:t>-</w:t>
        </w:r>
        <w:proofErr w:type="spellStart"/>
        <w:r w:rsidRPr="000F3293">
          <w:rPr>
            <w:rStyle w:val="-"/>
            <w:rFonts w:eastAsiaTheme="majorEastAsia"/>
            <w:lang w:val="en-US"/>
          </w:rPr>
          <w:t>gia</w:t>
        </w:r>
        <w:proofErr w:type="spellEnd"/>
        <w:r w:rsidRPr="000F3293">
          <w:rPr>
            <w:rStyle w:val="-"/>
            <w:rFonts w:eastAsiaTheme="majorEastAsia"/>
          </w:rPr>
          <w:t>-</w:t>
        </w:r>
        <w:r w:rsidRPr="000F3293">
          <w:rPr>
            <w:rStyle w:val="-"/>
            <w:rFonts w:eastAsiaTheme="majorEastAsia"/>
            <w:lang w:val="en-US"/>
          </w:rPr>
          <w:t>tin</w:t>
        </w:r>
        <w:r w:rsidRPr="000F3293">
          <w:rPr>
            <w:rStyle w:val="-"/>
            <w:rFonts w:eastAsiaTheme="majorEastAsia"/>
          </w:rPr>
          <w:t>-</w:t>
        </w:r>
        <w:proofErr w:type="spellStart"/>
        <w:r w:rsidRPr="000F3293">
          <w:rPr>
            <w:rStyle w:val="-"/>
            <w:rFonts w:eastAsiaTheme="majorEastAsia"/>
            <w:lang w:val="en-US"/>
          </w:rPr>
          <w:t>epistrofi</w:t>
        </w:r>
        <w:proofErr w:type="spellEnd"/>
        <w:r w:rsidRPr="000F3293">
          <w:rPr>
            <w:rStyle w:val="-"/>
            <w:rFonts w:eastAsiaTheme="majorEastAsia"/>
          </w:rPr>
          <w:t>-</w:t>
        </w:r>
        <w:r w:rsidRPr="000F3293">
          <w:rPr>
            <w:rStyle w:val="-"/>
            <w:rFonts w:eastAsiaTheme="majorEastAsia"/>
            <w:lang w:val="en-US"/>
          </w:rPr>
          <w:lastRenderedPageBreak/>
          <w:t>tis</w:t>
        </w:r>
        <w:r w:rsidRPr="000F3293">
          <w:rPr>
            <w:rStyle w:val="-"/>
            <w:rFonts w:eastAsiaTheme="majorEastAsia"/>
          </w:rPr>
          <w:t>-</w:t>
        </w:r>
        <w:r w:rsidRPr="000F3293">
          <w:rPr>
            <w:rStyle w:val="-"/>
            <w:rFonts w:eastAsiaTheme="majorEastAsia"/>
            <w:lang w:val="en-US"/>
          </w:rPr>
          <w:t>apo</w:t>
        </w:r>
        <w:r w:rsidRPr="000F3293">
          <w:rPr>
            <w:rStyle w:val="-"/>
            <w:rFonts w:eastAsiaTheme="majorEastAsia"/>
          </w:rPr>
          <w:t>-</w:t>
        </w:r>
        <w:r w:rsidRPr="000F3293">
          <w:rPr>
            <w:rStyle w:val="-"/>
            <w:rFonts w:eastAsiaTheme="majorEastAsia"/>
            <w:lang w:val="en-US"/>
          </w:rPr>
          <w:t>tin</w:t>
        </w:r>
        <w:r w:rsidRPr="000F3293">
          <w:rPr>
            <w:rStyle w:val="-"/>
            <w:rFonts w:eastAsiaTheme="majorEastAsia"/>
          </w:rPr>
          <w:t>-</w:t>
        </w:r>
        <w:proofErr w:type="spellStart"/>
        <w:r w:rsidRPr="000F3293">
          <w:rPr>
            <w:rStyle w:val="-"/>
            <w:rFonts w:eastAsiaTheme="majorEastAsia"/>
            <w:lang w:val="en-US"/>
          </w:rPr>
          <w:t>germania</w:t>
        </w:r>
        <w:proofErr w:type="spellEnd"/>
        <w:r w:rsidRPr="000F3293">
          <w:rPr>
            <w:rStyle w:val="-"/>
            <w:rFonts w:eastAsiaTheme="majorEastAsia"/>
          </w:rPr>
          <w:t>-</w:t>
        </w:r>
        <w:proofErr w:type="spellStart"/>
        <w:r w:rsidRPr="000F3293">
          <w:rPr>
            <w:rStyle w:val="-"/>
            <w:rFonts w:eastAsiaTheme="majorEastAsia"/>
            <w:lang w:val="en-US"/>
          </w:rPr>
          <w:t>simvolo</w:t>
        </w:r>
        <w:proofErr w:type="spellEnd"/>
        <w:r w:rsidRPr="000F3293">
          <w:rPr>
            <w:rStyle w:val="-"/>
            <w:rFonts w:eastAsiaTheme="majorEastAsia"/>
          </w:rPr>
          <w:t>-</w:t>
        </w:r>
        <w:proofErr w:type="spellStart"/>
        <w:r w:rsidRPr="000F3293">
          <w:rPr>
            <w:rStyle w:val="-"/>
            <w:rFonts w:eastAsiaTheme="majorEastAsia"/>
            <w:lang w:val="en-US"/>
          </w:rPr>
          <w:t>gia</w:t>
        </w:r>
        <w:proofErr w:type="spellEnd"/>
        <w:r w:rsidRPr="000F3293">
          <w:rPr>
            <w:rStyle w:val="-"/>
            <w:rFonts w:eastAsiaTheme="majorEastAsia"/>
          </w:rPr>
          <w:t>-</w:t>
        </w:r>
        <w:proofErr w:type="spellStart"/>
        <w:r w:rsidRPr="000F3293">
          <w:rPr>
            <w:rStyle w:val="-"/>
            <w:rFonts w:eastAsiaTheme="majorEastAsia"/>
            <w:lang w:val="en-US"/>
          </w:rPr>
          <w:t>anaktisi</w:t>
        </w:r>
        <w:proofErr w:type="spellEnd"/>
        <w:r w:rsidRPr="000F3293">
          <w:rPr>
            <w:rStyle w:val="-"/>
            <w:rFonts w:eastAsiaTheme="majorEastAsia"/>
          </w:rPr>
          <w:t>-</w:t>
        </w:r>
        <w:proofErr w:type="spellStart"/>
        <w:r w:rsidRPr="000F3293">
          <w:rPr>
            <w:rStyle w:val="-"/>
            <w:rFonts w:eastAsiaTheme="majorEastAsia"/>
            <w:lang w:val="en-US"/>
          </w:rPr>
          <w:t>archeotiton</w:t>
        </w:r>
        <w:proofErr w:type="spellEnd"/>
        <w:r w:rsidRPr="000F3293">
          <w:rPr>
            <w:rStyle w:val="-"/>
            <w:rFonts w:eastAsiaTheme="majorEastAsia"/>
          </w:rPr>
          <w:t>-</w:t>
        </w:r>
        <w:proofErr w:type="spellStart"/>
        <w:r w:rsidRPr="000F3293">
          <w:rPr>
            <w:rStyle w:val="-"/>
            <w:rFonts w:eastAsiaTheme="majorEastAsia"/>
            <w:lang w:val="en-US"/>
          </w:rPr>
          <w:t>pou</w:t>
        </w:r>
        <w:proofErr w:type="spellEnd"/>
        <w:r w:rsidRPr="000F3293">
          <w:rPr>
            <w:rStyle w:val="-"/>
            <w:rFonts w:eastAsiaTheme="majorEastAsia"/>
          </w:rPr>
          <w:t>-</w:t>
        </w:r>
        <w:proofErr w:type="spellStart"/>
        <w:r w:rsidRPr="000F3293">
          <w:rPr>
            <w:rStyle w:val="-"/>
            <w:rFonts w:eastAsiaTheme="majorEastAsia"/>
            <w:lang w:val="en-US"/>
          </w:rPr>
          <w:t>klapikan</w:t>
        </w:r>
        <w:proofErr w:type="spellEnd"/>
        <w:r w:rsidRPr="000F3293">
          <w:rPr>
            <w:rStyle w:val="-"/>
            <w:rFonts w:eastAsiaTheme="majorEastAsia"/>
          </w:rPr>
          <w:t>-</w:t>
        </w:r>
        <w:r w:rsidRPr="000F3293">
          <w:rPr>
            <w:rStyle w:val="-"/>
            <w:rFonts w:eastAsiaTheme="majorEastAsia"/>
            <w:lang w:val="en-US"/>
          </w:rPr>
          <w:t>apo</w:t>
        </w:r>
        <w:r w:rsidRPr="000F3293">
          <w:rPr>
            <w:rStyle w:val="-"/>
            <w:rFonts w:eastAsiaTheme="majorEastAsia"/>
          </w:rPr>
          <w:t>-</w:t>
        </w:r>
        <w:r w:rsidRPr="000F3293">
          <w:rPr>
            <w:rStyle w:val="-"/>
            <w:rFonts w:eastAsiaTheme="majorEastAsia"/>
            <w:lang w:val="en-US"/>
          </w:rPr>
          <w:t>tin</w:t>
        </w:r>
        <w:r w:rsidRPr="000F3293">
          <w:rPr>
            <w:rStyle w:val="-"/>
            <w:rFonts w:eastAsiaTheme="majorEastAsia"/>
          </w:rPr>
          <w:t>-</w:t>
        </w:r>
        <w:proofErr w:type="spellStart"/>
        <w:r w:rsidRPr="000F3293">
          <w:rPr>
            <w:rStyle w:val="-"/>
            <w:rFonts w:eastAsiaTheme="majorEastAsia"/>
            <w:lang w:val="en-US"/>
          </w:rPr>
          <w:t>apikiokratia</w:t>
        </w:r>
        <w:proofErr w:type="spellEnd"/>
        <w:r w:rsidRPr="000F3293">
          <w:rPr>
            <w:rStyle w:val="-"/>
            <w:rFonts w:eastAsiaTheme="majorEastAsia"/>
          </w:rPr>
          <w:t>-</w:t>
        </w:r>
        <w:proofErr w:type="spellStart"/>
        <w:r w:rsidRPr="000F3293">
          <w:rPr>
            <w:rStyle w:val="-"/>
            <w:rFonts w:eastAsiaTheme="majorEastAsia"/>
            <w:lang w:val="en-US"/>
          </w:rPr>
          <w:t>vinteo</w:t>
        </w:r>
        <w:proofErr w:type="spellEnd"/>
        <w:r w:rsidRPr="000F3293">
          <w:rPr>
            <w:rStyle w:val="-"/>
            <w:rFonts w:eastAsiaTheme="majorEastAsia"/>
          </w:rPr>
          <w:t>/</w:t>
        </w:r>
      </w:hyperlink>
    </w:p>
    <w:p w14:paraId="100542A6" w14:textId="77777777" w:rsidR="008D6D7C" w:rsidRPr="000F3293" w:rsidRDefault="008D6D7C" w:rsidP="00D441B6">
      <w:pPr>
        <w:pStyle w:val="Web"/>
        <w:spacing w:line="360" w:lineRule="auto"/>
        <w:ind w:left="360"/>
        <w:jc w:val="both"/>
      </w:pPr>
      <w:r w:rsidRPr="000F3293">
        <w:rPr>
          <w:lang w:val="en-US"/>
        </w:rPr>
        <w:t xml:space="preserve">Hellenic Republic. (2008, November 5). </w:t>
      </w:r>
      <w:r w:rsidRPr="000F3293">
        <w:rPr>
          <w:i/>
          <w:iCs/>
          <w:lang w:val="en-US"/>
        </w:rPr>
        <w:t>Law 3711/2008: Establishment of a legal entity under public law named “Acropolis Museum” and other provisions</w:t>
      </w:r>
      <w:r w:rsidRPr="000F3293">
        <w:rPr>
          <w:lang w:val="en-US"/>
        </w:rPr>
        <w:t xml:space="preserve">. </w:t>
      </w:r>
      <w:r w:rsidRPr="000F3293">
        <w:t xml:space="preserve">Ανακτήθηκε 03 Απριλίου 2026 από </w:t>
      </w:r>
      <w:hyperlink r:id="rId37" w:tgtFrame="_new" w:history="1">
        <w:r w:rsidRPr="000F3293">
          <w:rPr>
            <w:rStyle w:val="-"/>
            <w:lang w:val="en-US"/>
          </w:rPr>
          <w:t>https</w:t>
        </w:r>
        <w:r w:rsidRPr="000F3293">
          <w:rPr>
            <w:rStyle w:val="-"/>
          </w:rPr>
          <w:t>://</w:t>
        </w:r>
        <w:r w:rsidRPr="000F3293">
          <w:rPr>
            <w:rStyle w:val="-"/>
            <w:lang w:val="en-US"/>
          </w:rPr>
          <w:t>www</w:t>
        </w:r>
        <w:r w:rsidRPr="000F3293">
          <w:rPr>
            <w:rStyle w:val="-"/>
          </w:rPr>
          <w:t>.</w:t>
        </w:r>
        <w:r w:rsidRPr="000F3293">
          <w:rPr>
            <w:rStyle w:val="-"/>
            <w:lang w:val="en-US"/>
          </w:rPr>
          <w:t>e</w:t>
        </w:r>
        <w:r w:rsidRPr="000F3293">
          <w:rPr>
            <w:rStyle w:val="-"/>
          </w:rPr>
          <w:t>-</w:t>
        </w:r>
        <w:proofErr w:type="spellStart"/>
        <w:r w:rsidRPr="000F3293">
          <w:rPr>
            <w:rStyle w:val="-"/>
            <w:lang w:val="en-US"/>
          </w:rPr>
          <w:t>nomothesia</w:t>
        </w:r>
        <w:proofErr w:type="spellEnd"/>
        <w:r w:rsidRPr="000F3293">
          <w:rPr>
            <w:rStyle w:val="-"/>
          </w:rPr>
          <w:t>.</w:t>
        </w:r>
        <w:r w:rsidRPr="000F3293">
          <w:rPr>
            <w:rStyle w:val="-"/>
            <w:lang w:val="en-US"/>
          </w:rPr>
          <w:t>gr</w:t>
        </w:r>
        <w:r w:rsidRPr="000F3293">
          <w:rPr>
            <w:rStyle w:val="-"/>
          </w:rPr>
          <w:t>/</w:t>
        </w:r>
        <w:r w:rsidRPr="000F3293">
          <w:rPr>
            <w:rStyle w:val="-"/>
            <w:lang w:val="en-US"/>
          </w:rPr>
          <w:t>kat</w:t>
        </w:r>
        <w:r w:rsidRPr="000F3293">
          <w:rPr>
            <w:rStyle w:val="-"/>
          </w:rPr>
          <w:t>-</w:t>
        </w:r>
        <w:proofErr w:type="spellStart"/>
        <w:r w:rsidRPr="000F3293">
          <w:rPr>
            <w:rStyle w:val="-"/>
            <w:lang w:val="en-US"/>
          </w:rPr>
          <w:t>arxaiotites</w:t>
        </w:r>
        <w:proofErr w:type="spellEnd"/>
        <w:r w:rsidRPr="000F3293">
          <w:rPr>
            <w:rStyle w:val="-"/>
          </w:rPr>
          <w:t>/</w:t>
        </w:r>
        <w:r w:rsidRPr="000F3293">
          <w:rPr>
            <w:rStyle w:val="-"/>
            <w:lang w:val="en-US"/>
          </w:rPr>
          <w:t>nomos</w:t>
        </w:r>
        <w:r w:rsidRPr="000F3293">
          <w:rPr>
            <w:rStyle w:val="-"/>
          </w:rPr>
          <w:t>-3711-2008-</w:t>
        </w:r>
        <w:proofErr w:type="spellStart"/>
        <w:r w:rsidRPr="000F3293">
          <w:rPr>
            <w:rStyle w:val="-"/>
            <w:lang w:val="en-US"/>
          </w:rPr>
          <w:t>phek</w:t>
        </w:r>
        <w:proofErr w:type="spellEnd"/>
        <w:r w:rsidRPr="000F3293">
          <w:rPr>
            <w:rStyle w:val="-"/>
          </w:rPr>
          <w:t>-224</w:t>
        </w:r>
        <w:r w:rsidRPr="000F3293">
          <w:rPr>
            <w:rStyle w:val="-"/>
            <w:lang w:val="en-US"/>
          </w:rPr>
          <w:t>a</w:t>
        </w:r>
        <w:r w:rsidRPr="000F3293">
          <w:rPr>
            <w:rStyle w:val="-"/>
          </w:rPr>
          <w:t>-5-11-2008.</w:t>
        </w:r>
        <w:r w:rsidRPr="000F3293">
          <w:rPr>
            <w:rStyle w:val="-"/>
            <w:lang w:val="en-US"/>
          </w:rPr>
          <w:t>html</w:t>
        </w:r>
      </w:hyperlink>
      <w:r w:rsidRPr="000F3293">
        <w:t xml:space="preserve"> </w:t>
      </w:r>
    </w:p>
    <w:p w14:paraId="34DA87CA" w14:textId="77777777" w:rsidR="008D6D7C" w:rsidRPr="000F3293" w:rsidRDefault="008D6D7C" w:rsidP="00D441B6">
      <w:pPr>
        <w:pStyle w:val="Web"/>
        <w:spacing w:line="360" w:lineRule="auto"/>
        <w:ind w:left="360"/>
        <w:jc w:val="both"/>
      </w:pPr>
      <w:r w:rsidRPr="000F3293">
        <w:rPr>
          <w:lang w:val="en-US"/>
        </w:rPr>
        <w:t xml:space="preserve">Hellenic Republic. (2013, May 20). </w:t>
      </w:r>
      <w:r w:rsidRPr="000F3293">
        <w:rPr>
          <w:i/>
          <w:iCs/>
          <w:lang w:val="en-US"/>
        </w:rPr>
        <w:t xml:space="preserve">Presidential Decree 64/2013: </w:t>
      </w:r>
      <w:proofErr w:type="spellStart"/>
      <w:r w:rsidRPr="000F3293">
        <w:rPr>
          <w:i/>
          <w:iCs/>
          <w:lang w:val="en-US"/>
        </w:rPr>
        <w:t>Organisation</w:t>
      </w:r>
      <w:proofErr w:type="spellEnd"/>
      <w:r w:rsidRPr="000F3293">
        <w:rPr>
          <w:i/>
          <w:iCs/>
          <w:lang w:val="en-US"/>
        </w:rPr>
        <w:t xml:space="preserve"> of the Acropolis Museum</w:t>
      </w:r>
      <w:r w:rsidRPr="000F3293">
        <w:rPr>
          <w:lang w:val="en-US"/>
        </w:rPr>
        <w:t xml:space="preserve">. </w:t>
      </w:r>
      <w:r w:rsidRPr="000F3293">
        <w:t xml:space="preserve">Ανακτήθηκε 03 Μαρτίου 2026 από </w:t>
      </w:r>
      <w:hyperlink r:id="rId38" w:tgtFrame="_new" w:history="1">
        <w:r w:rsidRPr="000F3293">
          <w:rPr>
            <w:rStyle w:val="-"/>
            <w:lang w:val="en-US"/>
          </w:rPr>
          <w:t>https</w:t>
        </w:r>
        <w:r w:rsidRPr="000F3293">
          <w:rPr>
            <w:rStyle w:val="-"/>
          </w:rPr>
          <w:t>://</w:t>
        </w:r>
        <w:r w:rsidRPr="000F3293">
          <w:rPr>
            <w:rStyle w:val="-"/>
            <w:lang w:val="en-US"/>
          </w:rPr>
          <w:t>www</w:t>
        </w:r>
        <w:r w:rsidRPr="000F3293">
          <w:rPr>
            <w:rStyle w:val="-"/>
          </w:rPr>
          <w:t>.</w:t>
        </w:r>
        <w:r w:rsidRPr="000F3293">
          <w:rPr>
            <w:rStyle w:val="-"/>
            <w:lang w:val="en-US"/>
          </w:rPr>
          <w:t>e</w:t>
        </w:r>
        <w:r w:rsidRPr="000F3293">
          <w:rPr>
            <w:rStyle w:val="-"/>
          </w:rPr>
          <w:t>-</w:t>
        </w:r>
        <w:proofErr w:type="spellStart"/>
        <w:r w:rsidRPr="000F3293">
          <w:rPr>
            <w:rStyle w:val="-"/>
            <w:lang w:val="en-US"/>
          </w:rPr>
          <w:t>nomothesia</w:t>
        </w:r>
        <w:proofErr w:type="spellEnd"/>
        <w:r w:rsidRPr="000F3293">
          <w:rPr>
            <w:rStyle w:val="-"/>
          </w:rPr>
          <w:t>.</w:t>
        </w:r>
        <w:r w:rsidRPr="000F3293">
          <w:rPr>
            <w:rStyle w:val="-"/>
            <w:lang w:val="en-US"/>
          </w:rPr>
          <w:t>gr</w:t>
        </w:r>
        <w:r w:rsidRPr="000F3293">
          <w:rPr>
            <w:rStyle w:val="-"/>
          </w:rPr>
          <w:t>/</w:t>
        </w:r>
        <w:r w:rsidRPr="000F3293">
          <w:rPr>
            <w:rStyle w:val="-"/>
            <w:lang w:val="en-US"/>
          </w:rPr>
          <w:t>kat</w:t>
        </w:r>
        <w:r w:rsidRPr="000F3293">
          <w:rPr>
            <w:rStyle w:val="-"/>
          </w:rPr>
          <w:t>-</w:t>
        </w:r>
        <w:proofErr w:type="spellStart"/>
        <w:r w:rsidRPr="000F3293">
          <w:rPr>
            <w:rStyle w:val="-"/>
            <w:lang w:val="en-US"/>
          </w:rPr>
          <w:t>arxaiotites</w:t>
        </w:r>
        <w:proofErr w:type="spellEnd"/>
        <w:r w:rsidRPr="000F3293">
          <w:rPr>
            <w:rStyle w:val="-"/>
          </w:rPr>
          <w:t>/</w:t>
        </w:r>
        <w:r w:rsidRPr="000F3293">
          <w:rPr>
            <w:rStyle w:val="-"/>
            <w:lang w:val="en-US"/>
          </w:rPr>
          <w:t>pd</w:t>
        </w:r>
        <w:r w:rsidRPr="000F3293">
          <w:rPr>
            <w:rStyle w:val="-"/>
          </w:rPr>
          <w:t>-64-2013.</w:t>
        </w:r>
        <w:r w:rsidRPr="000F3293">
          <w:rPr>
            <w:rStyle w:val="-"/>
            <w:lang w:val="en-US"/>
          </w:rPr>
          <w:t>html</w:t>
        </w:r>
      </w:hyperlink>
      <w:r w:rsidRPr="000F3293">
        <w:t xml:space="preserve"> </w:t>
      </w:r>
    </w:p>
    <w:p w14:paraId="3E980DAD" w14:textId="77777777" w:rsidR="008D6D7C" w:rsidRPr="000F3293" w:rsidRDefault="008D6D7C" w:rsidP="00417A98">
      <w:pPr>
        <w:pStyle w:val="Web"/>
        <w:spacing w:line="360" w:lineRule="auto"/>
        <w:ind w:left="360"/>
        <w:jc w:val="both"/>
        <w:rPr>
          <w:lang w:val="en-US"/>
        </w:rPr>
      </w:pPr>
      <w:r w:rsidRPr="000F3293">
        <w:rPr>
          <w:lang w:val="en-US"/>
        </w:rPr>
        <w:t xml:space="preserve">Henriksen, A. (2023). </w:t>
      </w:r>
      <w:r w:rsidRPr="000F3293">
        <w:rPr>
          <w:rStyle w:val="a5"/>
          <w:lang w:val="en-US"/>
        </w:rPr>
        <w:t>International law</w:t>
      </w:r>
      <w:r w:rsidRPr="000F3293">
        <w:rPr>
          <w:lang w:val="en-US"/>
        </w:rPr>
        <w:t>. Oxford: Oxford University Press.</w:t>
      </w:r>
    </w:p>
    <w:p w14:paraId="6A516FA6" w14:textId="77777777" w:rsidR="008D6D7C" w:rsidRPr="000F3293" w:rsidRDefault="008D6D7C" w:rsidP="00417A98">
      <w:pPr>
        <w:pStyle w:val="Web"/>
        <w:spacing w:line="360" w:lineRule="auto"/>
        <w:ind w:left="360"/>
        <w:jc w:val="both"/>
        <w:rPr>
          <w:lang w:val="en-US"/>
        </w:rPr>
      </w:pPr>
      <w:r w:rsidRPr="000F3293">
        <w:rPr>
          <w:lang w:val="en-US"/>
        </w:rPr>
        <w:t xml:space="preserve">Hicks, D. (2020). </w:t>
      </w:r>
      <w:r w:rsidRPr="000F3293">
        <w:rPr>
          <w:rStyle w:val="a5"/>
          <w:lang w:val="en-US"/>
        </w:rPr>
        <w:t>The brutish museums: The Benin Bronzes, colonial violence and cultural restitution</w:t>
      </w:r>
      <w:r w:rsidRPr="000F3293">
        <w:rPr>
          <w:lang w:val="en-US"/>
        </w:rPr>
        <w:t>. London: Pluto Press.</w:t>
      </w:r>
    </w:p>
    <w:p w14:paraId="51353049" w14:textId="77777777" w:rsidR="008D6D7C" w:rsidRPr="000F3293" w:rsidRDefault="008D6D7C" w:rsidP="00D441B6">
      <w:pPr>
        <w:pStyle w:val="Web"/>
        <w:spacing w:line="360" w:lineRule="auto"/>
        <w:ind w:left="360"/>
        <w:jc w:val="both"/>
      </w:pPr>
      <w:r w:rsidRPr="000F3293">
        <w:rPr>
          <w:lang w:val="en-US"/>
        </w:rPr>
        <w:t xml:space="preserve">Horniman Museum and Gardens. (2018, June 1). </w:t>
      </w:r>
      <w:r w:rsidRPr="000F3293">
        <w:rPr>
          <w:i/>
          <w:iCs/>
          <w:lang w:val="en-US"/>
        </w:rPr>
        <w:t>The Horniman’s new Chief Executive Nick Merriman reveals strategic vision for the future of the Museum and Gardens</w:t>
      </w:r>
      <w:r w:rsidRPr="000F3293">
        <w:rPr>
          <w:lang w:val="en-US"/>
        </w:rPr>
        <w:t xml:space="preserve">. </w:t>
      </w:r>
      <w:r w:rsidRPr="000F3293">
        <w:t xml:space="preserve">Ανακτήθηκε 03 Μαρτίου 2026 από </w:t>
      </w:r>
      <w:hyperlink r:id="rId39"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ac</w:t>
        </w:r>
        <w:r w:rsidRPr="000F3293">
          <w:rPr>
            <w:rStyle w:val="-"/>
          </w:rPr>
          <w:t>.</w:t>
        </w:r>
        <w:proofErr w:type="spellStart"/>
        <w:r w:rsidRPr="000F3293">
          <w:rPr>
            <w:rStyle w:val="-"/>
            <w:lang w:val="en-US"/>
          </w:rPr>
          <w:t>uk</w:t>
        </w:r>
        <w:proofErr w:type="spellEnd"/>
        <w:r w:rsidRPr="000F3293">
          <w:rPr>
            <w:rStyle w:val="-"/>
          </w:rPr>
          <w:t>/</w:t>
        </w:r>
        <w:r w:rsidRPr="000F3293">
          <w:rPr>
            <w:rStyle w:val="-"/>
            <w:lang w:val="en-US"/>
          </w:rPr>
          <w:t>story</w:t>
        </w:r>
        <w:r w:rsidRPr="000F3293">
          <w:rPr>
            <w:rStyle w:val="-"/>
          </w:rPr>
          <w:t>/</w:t>
        </w:r>
        <w:r w:rsidRPr="000F3293">
          <w:rPr>
            <w:rStyle w:val="-"/>
            <w:lang w:val="en-US"/>
          </w:rPr>
          <w:t>the</w:t>
        </w:r>
        <w:r w:rsidRPr="000F3293">
          <w:rPr>
            <w:rStyle w:val="-"/>
          </w:rPr>
          <w:t>-</w:t>
        </w:r>
        <w:proofErr w:type="spellStart"/>
        <w:r w:rsidRPr="000F3293">
          <w:rPr>
            <w:rStyle w:val="-"/>
            <w:lang w:val="en-US"/>
          </w:rPr>
          <w:t>hornimans</w:t>
        </w:r>
        <w:proofErr w:type="spellEnd"/>
        <w:r w:rsidRPr="000F3293">
          <w:rPr>
            <w:rStyle w:val="-"/>
          </w:rPr>
          <w:t>-</w:t>
        </w:r>
        <w:r w:rsidRPr="000F3293">
          <w:rPr>
            <w:rStyle w:val="-"/>
            <w:lang w:val="en-US"/>
          </w:rPr>
          <w:t>new</w:t>
        </w:r>
        <w:r w:rsidRPr="000F3293">
          <w:rPr>
            <w:rStyle w:val="-"/>
          </w:rPr>
          <w:t>-</w:t>
        </w:r>
        <w:r w:rsidRPr="000F3293">
          <w:rPr>
            <w:rStyle w:val="-"/>
            <w:lang w:val="en-US"/>
          </w:rPr>
          <w:t>chief</w:t>
        </w:r>
        <w:r w:rsidRPr="000F3293">
          <w:rPr>
            <w:rStyle w:val="-"/>
          </w:rPr>
          <w:t>-</w:t>
        </w:r>
        <w:r w:rsidRPr="000F3293">
          <w:rPr>
            <w:rStyle w:val="-"/>
            <w:lang w:val="en-US"/>
          </w:rPr>
          <w:t>executive</w:t>
        </w:r>
        <w:r w:rsidRPr="000F3293">
          <w:rPr>
            <w:rStyle w:val="-"/>
          </w:rPr>
          <w:t>-</w:t>
        </w:r>
        <w:r w:rsidRPr="000F3293">
          <w:rPr>
            <w:rStyle w:val="-"/>
            <w:lang w:val="en-US"/>
          </w:rPr>
          <w:t>nick</w:t>
        </w:r>
        <w:r w:rsidRPr="000F3293">
          <w:rPr>
            <w:rStyle w:val="-"/>
          </w:rPr>
          <w:t>-</w:t>
        </w:r>
        <w:proofErr w:type="spellStart"/>
        <w:r w:rsidRPr="000F3293">
          <w:rPr>
            <w:rStyle w:val="-"/>
            <w:lang w:val="en-US"/>
          </w:rPr>
          <w:t>merriman</w:t>
        </w:r>
        <w:proofErr w:type="spellEnd"/>
        <w:r w:rsidRPr="000F3293">
          <w:rPr>
            <w:rStyle w:val="-"/>
          </w:rPr>
          <w:t>-</w:t>
        </w:r>
        <w:r w:rsidRPr="000F3293">
          <w:rPr>
            <w:rStyle w:val="-"/>
            <w:lang w:val="en-US"/>
          </w:rPr>
          <w:t>reveals</w:t>
        </w:r>
        <w:r w:rsidRPr="000F3293">
          <w:rPr>
            <w:rStyle w:val="-"/>
          </w:rPr>
          <w:t>-</w:t>
        </w:r>
        <w:r w:rsidRPr="000F3293">
          <w:rPr>
            <w:rStyle w:val="-"/>
            <w:lang w:val="en-US"/>
          </w:rPr>
          <w:t>strategic</w:t>
        </w:r>
        <w:r w:rsidRPr="000F3293">
          <w:rPr>
            <w:rStyle w:val="-"/>
          </w:rPr>
          <w:t>-</w:t>
        </w:r>
        <w:r w:rsidRPr="000F3293">
          <w:rPr>
            <w:rStyle w:val="-"/>
            <w:lang w:val="en-US"/>
          </w:rPr>
          <w:t>vision</w:t>
        </w:r>
        <w:r w:rsidRPr="000F3293">
          <w:rPr>
            <w:rStyle w:val="-"/>
          </w:rPr>
          <w:t>-</w:t>
        </w:r>
        <w:r w:rsidRPr="000F3293">
          <w:rPr>
            <w:rStyle w:val="-"/>
            <w:lang w:val="en-US"/>
          </w:rPr>
          <w:t>for</w:t>
        </w:r>
        <w:r w:rsidRPr="000F3293">
          <w:rPr>
            <w:rStyle w:val="-"/>
          </w:rPr>
          <w:t>-</w:t>
        </w:r>
        <w:r w:rsidRPr="000F3293">
          <w:rPr>
            <w:rStyle w:val="-"/>
            <w:lang w:val="en-US"/>
          </w:rPr>
          <w:t>the</w:t>
        </w:r>
        <w:r w:rsidRPr="000F3293">
          <w:rPr>
            <w:rStyle w:val="-"/>
          </w:rPr>
          <w:t>-</w:t>
        </w:r>
        <w:r w:rsidRPr="000F3293">
          <w:rPr>
            <w:rStyle w:val="-"/>
            <w:lang w:val="en-US"/>
          </w:rPr>
          <w:t>future</w:t>
        </w:r>
        <w:r w:rsidRPr="000F3293">
          <w:rPr>
            <w:rStyle w:val="-"/>
          </w:rPr>
          <w:t>-</w:t>
        </w:r>
        <w:r w:rsidRPr="000F3293">
          <w:rPr>
            <w:rStyle w:val="-"/>
            <w:lang w:val="en-US"/>
          </w:rPr>
          <w:t>of</w:t>
        </w:r>
        <w:r w:rsidRPr="000F3293">
          <w:rPr>
            <w:rStyle w:val="-"/>
          </w:rPr>
          <w:t>-</w:t>
        </w:r>
        <w:r w:rsidRPr="000F3293">
          <w:rPr>
            <w:rStyle w:val="-"/>
            <w:lang w:val="en-US"/>
          </w:rPr>
          <w:t>the</w:t>
        </w:r>
        <w:r w:rsidRPr="000F3293">
          <w:rPr>
            <w:rStyle w:val="-"/>
          </w:rPr>
          <w:t>-</w:t>
        </w:r>
        <w:r w:rsidRPr="000F3293">
          <w:rPr>
            <w:rStyle w:val="-"/>
            <w:lang w:val="en-US"/>
          </w:rPr>
          <w:t>museum</w:t>
        </w:r>
        <w:r w:rsidRPr="000F3293">
          <w:rPr>
            <w:rStyle w:val="-"/>
          </w:rPr>
          <w:t>-</w:t>
        </w:r>
        <w:r w:rsidRPr="000F3293">
          <w:rPr>
            <w:rStyle w:val="-"/>
            <w:lang w:val="en-US"/>
          </w:rPr>
          <w:t>and</w:t>
        </w:r>
        <w:r w:rsidRPr="000F3293">
          <w:rPr>
            <w:rStyle w:val="-"/>
          </w:rPr>
          <w:t>-</w:t>
        </w:r>
        <w:r w:rsidRPr="000F3293">
          <w:rPr>
            <w:rStyle w:val="-"/>
            <w:lang w:val="en-US"/>
          </w:rPr>
          <w:t>gardens</w:t>
        </w:r>
        <w:r w:rsidRPr="000F3293">
          <w:rPr>
            <w:rStyle w:val="-"/>
          </w:rPr>
          <w:t>/</w:t>
        </w:r>
      </w:hyperlink>
      <w:r w:rsidRPr="000F3293">
        <w:t xml:space="preserve"> </w:t>
      </w:r>
    </w:p>
    <w:p w14:paraId="008A3977" w14:textId="77777777" w:rsidR="008D6D7C" w:rsidRPr="000F3293" w:rsidRDefault="008D6D7C" w:rsidP="00D441B6">
      <w:pPr>
        <w:pStyle w:val="Web"/>
        <w:spacing w:line="360" w:lineRule="auto"/>
        <w:ind w:left="360"/>
        <w:jc w:val="both"/>
        <w:rPr>
          <w:lang w:val="en-US"/>
        </w:rPr>
      </w:pPr>
      <w:r w:rsidRPr="000F3293">
        <w:rPr>
          <w:lang w:val="en-US"/>
        </w:rPr>
        <w:t xml:space="preserve">Horniman Museum and Gardens. (2020, June 12). </w:t>
      </w:r>
      <w:r w:rsidRPr="000F3293">
        <w:rPr>
          <w:i/>
          <w:iCs/>
          <w:lang w:val="en-US"/>
        </w:rPr>
        <w:t>Frederick Horniman’s colonial legacy</w:t>
      </w:r>
      <w:r w:rsidRPr="000F3293">
        <w:rPr>
          <w:lang w:val="en-US"/>
        </w:rPr>
        <w:t xml:space="preserve">. </w:t>
      </w:r>
      <w:r w:rsidRPr="000F3293">
        <w:t>Ανακτήθηκε</w:t>
      </w:r>
      <w:r w:rsidRPr="000F3293">
        <w:rPr>
          <w:lang w:val="en-US"/>
        </w:rPr>
        <w:t xml:space="preserve"> 03 </w:t>
      </w:r>
      <w:r w:rsidRPr="000F3293">
        <w:t>Μαρτίου</w:t>
      </w:r>
      <w:r w:rsidRPr="000F3293">
        <w:rPr>
          <w:lang w:val="en-US"/>
        </w:rPr>
        <w:t xml:space="preserve"> 2026 </w:t>
      </w:r>
      <w:r w:rsidRPr="000F3293">
        <w:t>από</w:t>
      </w:r>
      <w:r w:rsidRPr="000F3293">
        <w:rPr>
          <w:lang w:val="en-US"/>
        </w:rPr>
        <w:t xml:space="preserve"> </w:t>
      </w:r>
      <w:hyperlink r:id="rId40" w:tgtFrame="_new" w:history="1">
        <w:r w:rsidRPr="000F3293">
          <w:rPr>
            <w:rStyle w:val="-"/>
            <w:lang w:val="en-US"/>
          </w:rPr>
          <w:t>https://www.horniman.ac.uk/story/frederick-hornimans-colonial-legacy/</w:t>
        </w:r>
      </w:hyperlink>
      <w:r w:rsidRPr="000F3293">
        <w:rPr>
          <w:lang w:val="en-US"/>
        </w:rPr>
        <w:t xml:space="preserve"> </w:t>
      </w:r>
    </w:p>
    <w:p w14:paraId="51CB2EA5" w14:textId="77777777" w:rsidR="008D6D7C" w:rsidRPr="000F3293" w:rsidRDefault="008D6D7C" w:rsidP="00D441B6">
      <w:pPr>
        <w:pStyle w:val="Web"/>
        <w:spacing w:line="360" w:lineRule="auto"/>
        <w:ind w:left="360"/>
        <w:jc w:val="both"/>
      </w:pPr>
      <w:r w:rsidRPr="000F3293">
        <w:rPr>
          <w:lang w:val="en-US"/>
        </w:rPr>
        <w:t xml:space="preserve">Horniman Museum and Gardens. (2022a, August 7). </w:t>
      </w:r>
      <w:r w:rsidRPr="000F3293">
        <w:rPr>
          <w:i/>
          <w:iCs/>
          <w:lang w:val="en-US"/>
        </w:rPr>
        <w:t>Horniman to return ownership of Benin bronzes to Nigeria</w:t>
      </w:r>
      <w:r w:rsidRPr="000F3293">
        <w:rPr>
          <w:lang w:val="en-US"/>
        </w:rPr>
        <w:t xml:space="preserve">. </w:t>
      </w:r>
      <w:r w:rsidRPr="000F3293">
        <w:t xml:space="preserve">Ανακτήθηκε 03 Μαρτίου 2026 από </w:t>
      </w:r>
      <w:hyperlink r:id="rId41"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ac</w:t>
        </w:r>
        <w:r w:rsidRPr="000F3293">
          <w:rPr>
            <w:rStyle w:val="-"/>
          </w:rPr>
          <w:t>.</w:t>
        </w:r>
        <w:proofErr w:type="spellStart"/>
        <w:r w:rsidRPr="000F3293">
          <w:rPr>
            <w:rStyle w:val="-"/>
            <w:lang w:val="en-US"/>
          </w:rPr>
          <w:t>uk</w:t>
        </w:r>
        <w:proofErr w:type="spellEnd"/>
        <w:r w:rsidRPr="000F3293">
          <w:rPr>
            <w:rStyle w:val="-"/>
          </w:rPr>
          <w:t>/</w:t>
        </w:r>
        <w:r w:rsidRPr="000F3293">
          <w:rPr>
            <w:rStyle w:val="-"/>
            <w:lang w:val="en-US"/>
          </w:rPr>
          <w:t>story</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to</w:t>
        </w:r>
        <w:r w:rsidRPr="000F3293">
          <w:rPr>
            <w:rStyle w:val="-"/>
          </w:rPr>
          <w:t>-</w:t>
        </w:r>
        <w:r w:rsidRPr="000F3293">
          <w:rPr>
            <w:rStyle w:val="-"/>
            <w:lang w:val="en-US"/>
          </w:rPr>
          <w:t>return</w:t>
        </w:r>
        <w:r w:rsidRPr="000F3293">
          <w:rPr>
            <w:rStyle w:val="-"/>
          </w:rPr>
          <w:t>-</w:t>
        </w:r>
        <w:r w:rsidRPr="000F3293">
          <w:rPr>
            <w:rStyle w:val="-"/>
            <w:lang w:val="en-US"/>
          </w:rPr>
          <w:t>ownership</w:t>
        </w:r>
        <w:r w:rsidRPr="000F3293">
          <w:rPr>
            <w:rStyle w:val="-"/>
          </w:rPr>
          <w:t>-</w:t>
        </w:r>
        <w:r w:rsidRPr="000F3293">
          <w:rPr>
            <w:rStyle w:val="-"/>
            <w:lang w:val="en-US"/>
          </w:rPr>
          <w:t>of</w:t>
        </w:r>
        <w:r w:rsidRPr="000F3293">
          <w:rPr>
            <w:rStyle w:val="-"/>
          </w:rPr>
          <w:t>-</w:t>
        </w:r>
        <w:proofErr w:type="spellStart"/>
        <w:r w:rsidRPr="000F3293">
          <w:rPr>
            <w:rStyle w:val="-"/>
            <w:lang w:val="en-US"/>
          </w:rPr>
          <w:t>benin</w:t>
        </w:r>
        <w:proofErr w:type="spellEnd"/>
        <w:r w:rsidRPr="000F3293">
          <w:rPr>
            <w:rStyle w:val="-"/>
          </w:rPr>
          <w:t>-</w:t>
        </w:r>
        <w:r w:rsidRPr="000F3293">
          <w:rPr>
            <w:rStyle w:val="-"/>
            <w:lang w:val="en-US"/>
          </w:rPr>
          <w:t>bronzes</w:t>
        </w:r>
        <w:r w:rsidRPr="000F3293">
          <w:rPr>
            <w:rStyle w:val="-"/>
          </w:rPr>
          <w:t>-</w:t>
        </w:r>
        <w:r w:rsidRPr="000F3293">
          <w:rPr>
            <w:rStyle w:val="-"/>
            <w:lang w:val="en-US"/>
          </w:rPr>
          <w:t>to</w:t>
        </w:r>
        <w:r w:rsidRPr="000F3293">
          <w:rPr>
            <w:rStyle w:val="-"/>
          </w:rPr>
          <w:t>-</w:t>
        </w:r>
        <w:proofErr w:type="spellStart"/>
        <w:r w:rsidRPr="000F3293">
          <w:rPr>
            <w:rStyle w:val="-"/>
            <w:lang w:val="en-US"/>
          </w:rPr>
          <w:t>nigeria</w:t>
        </w:r>
        <w:proofErr w:type="spellEnd"/>
        <w:r w:rsidRPr="000F3293">
          <w:rPr>
            <w:rStyle w:val="-"/>
          </w:rPr>
          <w:t>/</w:t>
        </w:r>
      </w:hyperlink>
      <w:r w:rsidRPr="000F3293">
        <w:t xml:space="preserve"> </w:t>
      </w:r>
    </w:p>
    <w:p w14:paraId="7AC9546B" w14:textId="77777777" w:rsidR="008D6D7C" w:rsidRPr="000F3293" w:rsidRDefault="008D6D7C" w:rsidP="00D441B6">
      <w:pPr>
        <w:pStyle w:val="Web"/>
        <w:spacing w:line="360" w:lineRule="auto"/>
        <w:ind w:left="360"/>
        <w:jc w:val="both"/>
      </w:pPr>
      <w:r w:rsidRPr="000F3293">
        <w:rPr>
          <w:lang w:val="en-US"/>
        </w:rPr>
        <w:t xml:space="preserve">Horniman Museum and Gardens. (2022b, November 28). </w:t>
      </w:r>
      <w:r w:rsidRPr="000F3293">
        <w:rPr>
          <w:i/>
          <w:iCs/>
          <w:lang w:val="en-US"/>
        </w:rPr>
        <w:t>Six objects to return to Nigeria as Horniman formally transfers ownership of “Benin Bronzes”</w:t>
      </w:r>
      <w:r w:rsidRPr="000F3293">
        <w:rPr>
          <w:lang w:val="en-US"/>
        </w:rPr>
        <w:t xml:space="preserve">. </w:t>
      </w:r>
      <w:r w:rsidRPr="000F3293">
        <w:t xml:space="preserve">Ανακτήθηκε 03 Μαρτίου 2026 </w:t>
      </w:r>
      <w:r w:rsidRPr="000F3293">
        <w:lastRenderedPageBreak/>
        <w:t xml:space="preserve">από </w:t>
      </w:r>
      <w:hyperlink r:id="rId42"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ac</w:t>
        </w:r>
        <w:r w:rsidRPr="000F3293">
          <w:rPr>
            <w:rStyle w:val="-"/>
          </w:rPr>
          <w:t>.</w:t>
        </w:r>
        <w:proofErr w:type="spellStart"/>
        <w:r w:rsidRPr="000F3293">
          <w:rPr>
            <w:rStyle w:val="-"/>
            <w:lang w:val="en-US"/>
          </w:rPr>
          <w:t>uk</w:t>
        </w:r>
        <w:proofErr w:type="spellEnd"/>
        <w:r w:rsidRPr="000F3293">
          <w:rPr>
            <w:rStyle w:val="-"/>
          </w:rPr>
          <w:t>/</w:t>
        </w:r>
        <w:r w:rsidRPr="000F3293">
          <w:rPr>
            <w:rStyle w:val="-"/>
            <w:lang w:val="en-US"/>
          </w:rPr>
          <w:t>story</w:t>
        </w:r>
        <w:r w:rsidRPr="000F3293">
          <w:rPr>
            <w:rStyle w:val="-"/>
          </w:rPr>
          <w:t>/</w:t>
        </w:r>
        <w:r w:rsidRPr="000F3293">
          <w:rPr>
            <w:rStyle w:val="-"/>
            <w:lang w:val="en-US"/>
          </w:rPr>
          <w:t>six</w:t>
        </w:r>
        <w:r w:rsidRPr="000F3293">
          <w:rPr>
            <w:rStyle w:val="-"/>
          </w:rPr>
          <w:t>-</w:t>
        </w:r>
        <w:r w:rsidRPr="000F3293">
          <w:rPr>
            <w:rStyle w:val="-"/>
            <w:lang w:val="en-US"/>
          </w:rPr>
          <w:t>objects</w:t>
        </w:r>
        <w:r w:rsidRPr="000F3293">
          <w:rPr>
            <w:rStyle w:val="-"/>
          </w:rPr>
          <w:t>-</w:t>
        </w:r>
        <w:r w:rsidRPr="000F3293">
          <w:rPr>
            <w:rStyle w:val="-"/>
            <w:lang w:val="en-US"/>
          </w:rPr>
          <w:t>to</w:t>
        </w:r>
        <w:r w:rsidRPr="000F3293">
          <w:rPr>
            <w:rStyle w:val="-"/>
          </w:rPr>
          <w:t>-</w:t>
        </w:r>
        <w:r w:rsidRPr="000F3293">
          <w:rPr>
            <w:rStyle w:val="-"/>
            <w:lang w:val="en-US"/>
          </w:rPr>
          <w:t>return</w:t>
        </w:r>
        <w:r w:rsidRPr="000F3293">
          <w:rPr>
            <w:rStyle w:val="-"/>
          </w:rPr>
          <w:t>-</w:t>
        </w:r>
        <w:r w:rsidRPr="000F3293">
          <w:rPr>
            <w:rStyle w:val="-"/>
            <w:lang w:val="en-US"/>
          </w:rPr>
          <w:t>to</w:t>
        </w:r>
        <w:r w:rsidRPr="000F3293">
          <w:rPr>
            <w:rStyle w:val="-"/>
          </w:rPr>
          <w:t>-</w:t>
        </w:r>
        <w:proofErr w:type="spellStart"/>
        <w:r w:rsidRPr="000F3293">
          <w:rPr>
            <w:rStyle w:val="-"/>
            <w:lang w:val="en-US"/>
          </w:rPr>
          <w:t>nigeria</w:t>
        </w:r>
        <w:proofErr w:type="spellEnd"/>
        <w:r w:rsidRPr="000F3293">
          <w:rPr>
            <w:rStyle w:val="-"/>
          </w:rPr>
          <w:t>-</w:t>
        </w:r>
        <w:r w:rsidRPr="000F3293">
          <w:rPr>
            <w:rStyle w:val="-"/>
            <w:lang w:val="en-US"/>
          </w:rPr>
          <w:t>as</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formally</w:t>
        </w:r>
        <w:r w:rsidRPr="000F3293">
          <w:rPr>
            <w:rStyle w:val="-"/>
          </w:rPr>
          <w:t>-</w:t>
        </w:r>
        <w:r w:rsidRPr="000F3293">
          <w:rPr>
            <w:rStyle w:val="-"/>
            <w:lang w:val="en-US"/>
          </w:rPr>
          <w:t>transfers</w:t>
        </w:r>
        <w:r w:rsidRPr="000F3293">
          <w:rPr>
            <w:rStyle w:val="-"/>
          </w:rPr>
          <w:t>-</w:t>
        </w:r>
        <w:r w:rsidRPr="000F3293">
          <w:rPr>
            <w:rStyle w:val="-"/>
            <w:lang w:val="en-US"/>
          </w:rPr>
          <w:t>ownership</w:t>
        </w:r>
        <w:r w:rsidRPr="000F3293">
          <w:rPr>
            <w:rStyle w:val="-"/>
          </w:rPr>
          <w:t>-</w:t>
        </w:r>
        <w:r w:rsidRPr="000F3293">
          <w:rPr>
            <w:rStyle w:val="-"/>
            <w:lang w:val="en-US"/>
          </w:rPr>
          <w:t>of</w:t>
        </w:r>
        <w:r w:rsidRPr="000F3293">
          <w:rPr>
            <w:rStyle w:val="-"/>
          </w:rPr>
          <w:t>-</w:t>
        </w:r>
        <w:proofErr w:type="spellStart"/>
        <w:r w:rsidRPr="000F3293">
          <w:rPr>
            <w:rStyle w:val="-"/>
            <w:lang w:val="en-US"/>
          </w:rPr>
          <w:t>benin</w:t>
        </w:r>
        <w:proofErr w:type="spellEnd"/>
        <w:r w:rsidRPr="000F3293">
          <w:rPr>
            <w:rStyle w:val="-"/>
          </w:rPr>
          <w:t>-</w:t>
        </w:r>
        <w:r w:rsidRPr="000F3293">
          <w:rPr>
            <w:rStyle w:val="-"/>
            <w:lang w:val="en-US"/>
          </w:rPr>
          <w:t>bronzes</w:t>
        </w:r>
        <w:r w:rsidRPr="000F3293">
          <w:rPr>
            <w:rStyle w:val="-"/>
          </w:rPr>
          <w:t>/</w:t>
        </w:r>
      </w:hyperlink>
      <w:r w:rsidRPr="000F3293">
        <w:t xml:space="preserve"> </w:t>
      </w:r>
    </w:p>
    <w:p w14:paraId="18B8886E" w14:textId="77777777" w:rsidR="008D6D7C" w:rsidRPr="000F3293" w:rsidRDefault="008D6D7C" w:rsidP="00D441B6">
      <w:pPr>
        <w:pStyle w:val="Web"/>
        <w:spacing w:line="360" w:lineRule="auto"/>
        <w:ind w:left="360"/>
        <w:jc w:val="both"/>
      </w:pPr>
      <w:r w:rsidRPr="000F3293">
        <w:rPr>
          <w:lang w:val="en-US"/>
        </w:rPr>
        <w:t xml:space="preserve">Horniman Museum and Gardens. (2024a, November 20). </w:t>
      </w:r>
      <w:r w:rsidRPr="000F3293">
        <w:rPr>
          <w:i/>
          <w:iCs/>
          <w:lang w:val="en-US"/>
        </w:rPr>
        <w:t>New Benin display at the Horniman includes returned “bronzes” on loan</w:t>
      </w:r>
      <w:r w:rsidRPr="000F3293">
        <w:rPr>
          <w:lang w:val="en-US"/>
        </w:rPr>
        <w:t xml:space="preserve">. </w:t>
      </w:r>
      <w:r w:rsidRPr="000F3293">
        <w:t xml:space="preserve">Ανακτήθηκε 03 Μαρτίου 2026 από </w:t>
      </w:r>
      <w:hyperlink r:id="rId43"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ac</w:t>
        </w:r>
        <w:r w:rsidRPr="000F3293">
          <w:rPr>
            <w:rStyle w:val="-"/>
          </w:rPr>
          <w:t>.</w:t>
        </w:r>
        <w:proofErr w:type="spellStart"/>
        <w:r w:rsidRPr="000F3293">
          <w:rPr>
            <w:rStyle w:val="-"/>
            <w:lang w:val="en-US"/>
          </w:rPr>
          <w:t>uk</w:t>
        </w:r>
        <w:proofErr w:type="spellEnd"/>
        <w:r w:rsidRPr="000F3293">
          <w:rPr>
            <w:rStyle w:val="-"/>
          </w:rPr>
          <w:t>/</w:t>
        </w:r>
        <w:r w:rsidRPr="000F3293">
          <w:rPr>
            <w:rStyle w:val="-"/>
            <w:lang w:val="en-US"/>
          </w:rPr>
          <w:t>story</w:t>
        </w:r>
        <w:r w:rsidRPr="000F3293">
          <w:rPr>
            <w:rStyle w:val="-"/>
          </w:rPr>
          <w:t>/</w:t>
        </w:r>
        <w:r w:rsidRPr="000F3293">
          <w:rPr>
            <w:rStyle w:val="-"/>
            <w:lang w:val="en-US"/>
          </w:rPr>
          <w:t>new</w:t>
        </w:r>
        <w:r w:rsidRPr="000F3293">
          <w:rPr>
            <w:rStyle w:val="-"/>
          </w:rPr>
          <w:t>-</w:t>
        </w:r>
        <w:proofErr w:type="spellStart"/>
        <w:r w:rsidRPr="000F3293">
          <w:rPr>
            <w:rStyle w:val="-"/>
            <w:lang w:val="en-US"/>
          </w:rPr>
          <w:t>benin</w:t>
        </w:r>
        <w:proofErr w:type="spellEnd"/>
        <w:r w:rsidRPr="000F3293">
          <w:rPr>
            <w:rStyle w:val="-"/>
          </w:rPr>
          <w:t>-</w:t>
        </w:r>
        <w:r w:rsidRPr="000F3293">
          <w:rPr>
            <w:rStyle w:val="-"/>
            <w:lang w:val="en-US"/>
          </w:rPr>
          <w:t>display</w:t>
        </w:r>
        <w:r w:rsidRPr="000F3293">
          <w:rPr>
            <w:rStyle w:val="-"/>
          </w:rPr>
          <w:t>-</w:t>
        </w:r>
        <w:r w:rsidRPr="000F3293">
          <w:rPr>
            <w:rStyle w:val="-"/>
            <w:lang w:val="en-US"/>
          </w:rPr>
          <w:t>at</w:t>
        </w:r>
        <w:r w:rsidRPr="000F3293">
          <w:rPr>
            <w:rStyle w:val="-"/>
          </w:rPr>
          <w:t>-</w:t>
        </w:r>
        <w:r w:rsidRPr="000F3293">
          <w:rPr>
            <w:rStyle w:val="-"/>
            <w:lang w:val="en-US"/>
          </w:rPr>
          <w:t>the</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includes</w:t>
        </w:r>
        <w:r w:rsidRPr="000F3293">
          <w:rPr>
            <w:rStyle w:val="-"/>
          </w:rPr>
          <w:t>-</w:t>
        </w:r>
        <w:r w:rsidRPr="000F3293">
          <w:rPr>
            <w:rStyle w:val="-"/>
            <w:lang w:val="en-US"/>
          </w:rPr>
          <w:t>returned</w:t>
        </w:r>
        <w:r w:rsidRPr="000F3293">
          <w:rPr>
            <w:rStyle w:val="-"/>
          </w:rPr>
          <w:t>-</w:t>
        </w:r>
        <w:r w:rsidRPr="000F3293">
          <w:rPr>
            <w:rStyle w:val="-"/>
            <w:lang w:val="en-US"/>
          </w:rPr>
          <w:t>bronzes</w:t>
        </w:r>
        <w:r w:rsidRPr="000F3293">
          <w:rPr>
            <w:rStyle w:val="-"/>
          </w:rPr>
          <w:t>-</w:t>
        </w:r>
        <w:r w:rsidRPr="000F3293">
          <w:rPr>
            <w:rStyle w:val="-"/>
            <w:lang w:val="en-US"/>
          </w:rPr>
          <w:t>on</w:t>
        </w:r>
        <w:r w:rsidRPr="000F3293">
          <w:rPr>
            <w:rStyle w:val="-"/>
          </w:rPr>
          <w:t>-</w:t>
        </w:r>
        <w:r w:rsidRPr="000F3293">
          <w:rPr>
            <w:rStyle w:val="-"/>
            <w:lang w:val="en-US"/>
          </w:rPr>
          <w:t>loan</w:t>
        </w:r>
        <w:r w:rsidRPr="000F3293">
          <w:rPr>
            <w:rStyle w:val="-"/>
          </w:rPr>
          <w:t>/</w:t>
        </w:r>
      </w:hyperlink>
      <w:r w:rsidRPr="000F3293">
        <w:t xml:space="preserve"> </w:t>
      </w:r>
    </w:p>
    <w:p w14:paraId="7A56ABAA" w14:textId="77777777" w:rsidR="008D6D7C" w:rsidRPr="000F3293" w:rsidRDefault="008D6D7C" w:rsidP="00D441B6">
      <w:pPr>
        <w:pStyle w:val="Web"/>
        <w:spacing w:line="360" w:lineRule="auto"/>
        <w:ind w:left="360"/>
        <w:jc w:val="both"/>
      </w:pPr>
      <w:r w:rsidRPr="000F3293">
        <w:rPr>
          <w:lang w:val="en-US"/>
        </w:rPr>
        <w:t xml:space="preserve">Horniman Museum and Gardens. (2024b, August 1). </w:t>
      </w:r>
      <w:r w:rsidRPr="000F3293">
        <w:rPr>
          <w:i/>
          <w:iCs/>
          <w:lang w:val="en-US"/>
        </w:rPr>
        <w:t>Horniman to return 10 Warumungu objects to Australia</w:t>
      </w:r>
      <w:r w:rsidRPr="000F3293">
        <w:rPr>
          <w:lang w:val="en-US"/>
        </w:rPr>
        <w:t xml:space="preserve">. </w:t>
      </w:r>
      <w:r w:rsidRPr="000F3293">
        <w:t xml:space="preserve">Ανακτήθηκε 03 Μαρτίου 2026 από </w:t>
      </w:r>
      <w:hyperlink r:id="rId44"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ac</w:t>
        </w:r>
        <w:r w:rsidRPr="000F3293">
          <w:rPr>
            <w:rStyle w:val="-"/>
          </w:rPr>
          <w:t>.</w:t>
        </w:r>
        <w:proofErr w:type="spellStart"/>
        <w:r w:rsidRPr="000F3293">
          <w:rPr>
            <w:rStyle w:val="-"/>
            <w:lang w:val="en-US"/>
          </w:rPr>
          <w:t>uk</w:t>
        </w:r>
        <w:proofErr w:type="spellEnd"/>
        <w:r w:rsidRPr="000F3293">
          <w:rPr>
            <w:rStyle w:val="-"/>
          </w:rPr>
          <w:t>/</w:t>
        </w:r>
        <w:r w:rsidRPr="000F3293">
          <w:rPr>
            <w:rStyle w:val="-"/>
            <w:lang w:val="en-US"/>
          </w:rPr>
          <w:t>story</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to</w:t>
        </w:r>
        <w:r w:rsidRPr="000F3293">
          <w:rPr>
            <w:rStyle w:val="-"/>
          </w:rPr>
          <w:t>-</w:t>
        </w:r>
        <w:r w:rsidRPr="000F3293">
          <w:rPr>
            <w:rStyle w:val="-"/>
            <w:lang w:val="en-US"/>
          </w:rPr>
          <w:t>return</w:t>
        </w:r>
        <w:r w:rsidRPr="000F3293">
          <w:rPr>
            <w:rStyle w:val="-"/>
          </w:rPr>
          <w:t>-10-</w:t>
        </w:r>
        <w:proofErr w:type="spellStart"/>
        <w:r w:rsidRPr="000F3293">
          <w:rPr>
            <w:rStyle w:val="-"/>
            <w:lang w:val="en-US"/>
          </w:rPr>
          <w:t>warumungu</w:t>
        </w:r>
        <w:proofErr w:type="spellEnd"/>
        <w:r w:rsidRPr="000F3293">
          <w:rPr>
            <w:rStyle w:val="-"/>
          </w:rPr>
          <w:t>-</w:t>
        </w:r>
        <w:r w:rsidRPr="000F3293">
          <w:rPr>
            <w:rStyle w:val="-"/>
            <w:lang w:val="en-US"/>
          </w:rPr>
          <w:t>objects</w:t>
        </w:r>
        <w:r w:rsidRPr="000F3293">
          <w:rPr>
            <w:rStyle w:val="-"/>
          </w:rPr>
          <w:t>-</w:t>
        </w:r>
        <w:r w:rsidRPr="000F3293">
          <w:rPr>
            <w:rStyle w:val="-"/>
            <w:lang w:val="en-US"/>
          </w:rPr>
          <w:t>to</w:t>
        </w:r>
        <w:r w:rsidRPr="000F3293">
          <w:rPr>
            <w:rStyle w:val="-"/>
          </w:rPr>
          <w:t>-</w:t>
        </w:r>
        <w:proofErr w:type="spellStart"/>
        <w:r w:rsidRPr="000F3293">
          <w:rPr>
            <w:rStyle w:val="-"/>
            <w:lang w:val="en-US"/>
          </w:rPr>
          <w:t>australia</w:t>
        </w:r>
        <w:proofErr w:type="spellEnd"/>
        <w:r w:rsidRPr="000F3293">
          <w:rPr>
            <w:rStyle w:val="-"/>
          </w:rPr>
          <w:t>/</w:t>
        </w:r>
      </w:hyperlink>
      <w:r w:rsidRPr="000F3293">
        <w:t xml:space="preserve"> </w:t>
      </w:r>
    </w:p>
    <w:p w14:paraId="6A049270" w14:textId="77777777" w:rsidR="008D6D7C" w:rsidRPr="000F3293" w:rsidRDefault="008D6D7C" w:rsidP="00D441B6">
      <w:pPr>
        <w:pStyle w:val="Web"/>
        <w:spacing w:line="360" w:lineRule="auto"/>
        <w:ind w:left="360"/>
        <w:jc w:val="both"/>
      </w:pPr>
      <w:r w:rsidRPr="000F3293">
        <w:rPr>
          <w:lang w:val="en-US"/>
        </w:rPr>
        <w:t xml:space="preserve">Horniman Museum and Gardens. (n.d.-a). </w:t>
      </w:r>
      <w:r w:rsidRPr="000F3293">
        <w:rPr>
          <w:i/>
          <w:iCs/>
          <w:lang w:val="en-US"/>
        </w:rPr>
        <w:t>Nick</w:t>
      </w:r>
      <w:r w:rsidRPr="000F3293">
        <w:rPr>
          <w:i/>
          <w:iCs/>
        </w:rPr>
        <w:t xml:space="preserve"> </w:t>
      </w:r>
      <w:r w:rsidRPr="000F3293">
        <w:rPr>
          <w:i/>
          <w:iCs/>
          <w:lang w:val="en-US"/>
        </w:rPr>
        <w:t>Merriman</w:t>
      </w:r>
      <w:r w:rsidRPr="000F3293">
        <w:t xml:space="preserve">. Ανακτήθηκε 03 Μαρτίου 2026 από </w:t>
      </w:r>
      <w:hyperlink r:id="rId45"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ac</w:t>
        </w:r>
        <w:r w:rsidRPr="000F3293">
          <w:rPr>
            <w:rStyle w:val="-"/>
          </w:rPr>
          <w:t>.</w:t>
        </w:r>
        <w:proofErr w:type="spellStart"/>
        <w:r w:rsidRPr="000F3293">
          <w:rPr>
            <w:rStyle w:val="-"/>
            <w:lang w:val="en-US"/>
          </w:rPr>
          <w:t>uk</w:t>
        </w:r>
        <w:proofErr w:type="spellEnd"/>
        <w:r w:rsidRPr="000F3293">
          <w:rPr>
            <w:rStyle w:val="-"/>
          </w:rPr>
          <w:t>/</w:t>
        </w:r>
        <w:r w:rsidRPr="000F3293">
          <w:rPr>
            <w:rStyle w:val="-"/>
            <w:lang w:val="en-US"/>
          </w:rPr>
          <w:t>people</w:t>
        </w:r>
        <w:r w:rsidRPr="000F3293">
          <w:rPr>
            <w:rStyle w:val="-"/>
          </w:rPr>
          <w:t>/</w:t>
        </w:r>
        <w:r w:rsidRPr="000F3293">
          <w:rPr>
            <w:rStyle w:val="-"/>
            <w:lang w:val="en-US"/>
          </w:rPr>
          <w:t>nick</w:t>
        </w:r>
        <w:r w:rsidRPr="000F3293">
          <w:rPr>
            <w:rStyle w:val="-"/>
          </w:rPr>
          <w:t>-</w:t>
        </w:r>
        <w:proofErr w:type="spellStart"/>
        <w:r w:rsidRPr="000F3293">
          <w:rPr>
            <w:rStyle w:val="-"/>
            <w:lang w:val="en-US"/>
          </w:rPr>
          <w:t>merriman</w:t>
        </w:r>
        <w:proofErr w:type="spellEnd"/>
        <w:r w:rsidRPr="000F3293">
          <w:rPr>
            <w:rStyle w:val="-"/>
          </w:rPr>
          <w:t>/</w:t>
        </w:r>
      </w:hyperlink>
      <w:r w:rsidRPr="000F3293">
        <w:t xml:space="preserve"> </w:t>
      </w:r>
    </w:p>
    <w:p w14:paraId="4C72D24A" w14:textId="77777777" w:rsidR="008D6D7C" w:rsidRPr="000F3293" w:rsidRDefault="008D6D7C" w:rsidP="00D441B6">
      <w:pPr>
        <w:pStyle w:val="Web"/>
        <w:spacing w:line="360" w:lineRule="auto"/>
        <w:ind w:left="360"/>
        <w:jc w:val="both"/>
      </w:pPr>
      <w:r w:rsidRPr="000F3293">
        <w:rPr>
          <w:lang w:val="en-US"/>
        </w:rPr>
        <w:t xml:space="preserve">Horniman Museum and Gardens. (n.d.-b). </w:t>
      </w:r>
      <w:r w:rsidRPr="000F3293">
        <w:rPr>
          <w:i/>
          <w:iCs/>
          <w:lang w:val="en-US"/>
        </w:rPr>
        <w:t>People</w:t>
      </w:r>
      <w:r w:rsidRPr="000F3293">
        <w:t xml:space="preserve">. Ανακτήθηκε 03 Μαρτίου 2026 από </w:t>
      </w:r>
      <w:hyperlink r:id="rId46" w:tgtFrame="_new" w:history="1">
        <w:r w:rsidRPr="000F3293">
          <w:rPr>
            <w:rStyle w:val="-"/>
            <w:lang w:val="en-US"/>
          </w:rPr>
          <w:t>https</w:t>
        </w:r>
        <w:r w:rsidRPr="000F3293">
          <w:rPr>
            <w:rStyle w:val="-"/>
          </w:rPr>
          <w:t>://</w:t>
        </w:r>
        <w:r w:rsidRPr="000F3293">
          <w:rPr>
            <w:rStyle w:val="-"/>
            <w:lang w:val="en-US"/>
          </w:rPr>
          <w:t>www</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ac</w:t>
        </w:r>
        <w:r w:rsidRPr="000F3293">
          <w:rPr>
            <w:rStyle w:val="-"/>
          </w:rPr>
          <w:t>.</w:t>
        </w:r>
        <w:proofErr w:type="spellStart"/>
        <w:r w:rsidRPr="000F3293">
          <w:rPr>
            <w:rStyle w:val="-"/>
            <w:lang w:val="en-US"/>
          </w:rPr>
          <w:t>uk</w:t>
        </w:r>
        <w:proofErr w:type="spellEnd"/>
        <w:r w:rsidRPr="000F3293">
          <w:rPr>
            <w:rStyle w:val="-"/>
          </w:rPr>
          <w:t>/</w:t>
        </w:r>
        <w:r w:rsidRPr="000F3293">
          <w:rPr>
            <w:rStyle w:val="-"/>
            <w:lang w:val="en-US"/>
          </w:rPr>
          <w:t>about</w:t>
        </w:r>
        <w:r w:rsidRPr="000F3293">
          <w:rPr>
            <w:rStyle w:val="-"/>
          </w:rPr>
          <w:t>-</w:t>
        </w:r>
        <w:r w:rsidRPr="000F3293">
          <w:rPr>
            <w:rStyle w:val="-"/>
            <w:lang w:val="en-US"/>
          </w:rPr>
          <w:t>the</w:t>
        </w:r>
        <w:r w:rsidRPr="000F3293">
          <w:rPr>
            <w:rStyle w:val="-"/>
          </w:rPr>
          <w:t>-</w:t>
        </w:r>
        <w:proofErr w:type="spellStart"/>
        <w:r w:rsidRPr="000F3293">
          <w:rPr>
            <w:rStyle w:val="-"/>
            <w:lang w:val="en-US"/>
          </w:rPr>
          <w:t>horniman</w:t>
        </w:r>
        <w:proofErr w:type="spellEnd"/>
        <w:r w:rsidRPr="000F3293">
          <w:rPr>
            <w:rStyle w:val="-"/>
          </w:rPr>
          <w:t>/</w:t>
        </w:r>
        <w:r w:rsidRPr="000F3293">
          <w:rPr>
            <w:rStyle w:val="-"/>
            <w:lang w:val="en-US"/>
          </w:rPr>
          <w:t>people</w:t>
        </w:r>
        <w:r w:rsidRPr="000F3293">
          <w:rPr>
            <w:rStyle w:val="-"/>
          </w:rPr>
          <w:t>/</w:t>
        </w:r>
      </w:hyperlink>
      <w:r w:rsidRPr="000F3293">
        <w:t xml:space="preserve"> </w:t>
      </w:r>
    </w:p>
    <w:p w14:paraId="6BFA4788" w14:textId="77777777" w:rsidR="008D6D7C" w:rsidRPr="000F3293" w:rsidRDefault="008D6D7C" w:rsidP="00D441B6">
      <w:pPr>
        <w:pStyle w:val="Web"/>
        <w:spacing w:line="360" w:lineRule="auto"/>
        <w:ind w:left="360"/>
        <w:jc w:val="both"/>
        <w:rPr>
          <w:lang w:val="en-US"/>
        </w:rPr>
      </w:pPr>
      <w:r w:rsidRPr="000F3293">
        <w:rPr>
          <w:lang w:val="en-US"/>
        </w:rPr>
        <w:t xml:space="preserve">Horniman Museum and Gardens. (n.d.-c). </w:t>
      </w:r>
      <w:r w:rsidRPr="000F3293">
        <w:rPr>
          <w:i/>
          <w:iCs/>
          <w:lang w:val="en-US"/>
        </w:rPr>
        <w:t>Plans, policies and reporting</w:t>
      </w:r>
      <w:r w:rsidRPr="000F3293">
        <w:rPr>
          <w:lang w:val="en-US"/>
        </w:rPr>
        <w:t xml:space="preserve">. </w:t>
      </w:r>
      <w:r w:rsidRPr="000F3293">
        <w:t>Ανακτήθηκε</w:t>
      </w:r>
      <w:r w:rsidRPr="000F3293">
        <w:rPr>
          <w:lang w:val="en-US"/>
        </w:rPr>
        <w:t xml:space="preserve"> 03 </w:t>
      </w:r>
      <w:r w:rsidRPr="000F3293">
        <w:t>Μαρτίου</w:t>
      </w:r>
      <w:r w:rsidRPr="000F3293">
        <w:rPr>
          <w:lang w:val="en-US"/>
        </w:rPr>
        <w:t xml:space="preserve"> 2026 </w:t>
      </w:r>
      <w:r w:rsidRPr="000F3293">
        <w:t>από</w:t>
      </w:r>
      <w:r w:rsidRPr="000F3293">
        <w:rPr>
          <w:lang w:val="en-US"/>
        </w:rPr>
        <w:t xml:space="preserve"> </w:t>
      </w:r>
      <w:hyperlink r:id="rId47" w:tgtFrame="_new" w:history="1">
        <w:r w:rsidRPr="000F3293">
          <w:rPr>
            <w:rStyle w:val="-"/>
            <w:lang w:val="en-US"/>
          </w:rPr>
          <w:t>https://www.horniman.ac.uk/about-the-horniman/plans-policies-reporting/</w:t>
        </w:r>
      </w:hyperlink>
      <w:r w:rsidRPr="000F3293">
        <w:rPr>
          <w:lang w:val="en-US"/>
        </w:rPr>
        <w:t xml:space="preserve"> </w:t>
      </w:r>
    </w:p>
    <w:p w14:paraId="7B9726C3" w14:textId="77777777" w:rsidR="008D6D7C" w:rsidRPr="000F3293" w:rsidRDefault="008D6D7C" w:rsidP="00D441B6">
      <w:pPr>
        <w:pStyle w:val="Web"/>
        <w:spacing w:line="360" w:lineRule="auto"/>
        <w:ind w:left="360"/>
        <w:jc w:val="both"/>
        <w:rPr>
          <w:lang w:val="en-US"/>
        </w:rPr>
      </w:pPr>
      <w:r w:rsidRPr="000F3293">
        <w:rPr>
          <w:lang w:val="en-US"/>
        </w:rPr>
        <w:t xml:space="preserve">Horniman Museum and Gardens. (n.d.-d). </w:t>
      </w:r>
      <w:r w:rsidRPr="000F3293">
        <w:rPr>
          <w:i/>
          <w:iCs/>
          <w:lang w:val="en-US"/>
        </w:rPr>
        <w:t>The World Gallery</w:t>
      </w:r>
      <w:r w:rsidRPr="000F3293">
        <w:rPr>
          <w:lang w:val="en-US"/>
        </w:rPr>
        <w:t xml:space="preserve"> [Video]. YouTube. </w:t>
      </w:r>
      <w:hyperlink r:id="rId48" w:tgtFrame="_new" w:history="1">
        <w:r w:rsidRPr="000F3293">
          <w:rPr>
            <w:rStyle w:val="-"/>
            <w:lang w:val="en-US"/>
          </w:rPr>
          <w:t>https://www.youtube.com/watch?v=Heat7rRN344</w:t>
        </w:r>
      </w:hyperlink>
      <w:r w:rsidRPr="000F3293">
        <w:rPr>
          <w:lang w:val="en-US"/>
        </w:rPr>
        <w:t xml:space="preserve"> </w:t>
      </w:r>
    </w:p>
    <w:p w14:paraId="70B6F881" w14:textId="77777777" w:rsidR="008D6D7C" w:rsidRPr="000F3293" w:rsidRDefault="008D6D7C" w:rsidP="00417A98">
      <w:pPr>
        <w:spacing w:before="100" w:beforeAutospacing="1" w:after="100" w:afterAutospacing="1" w:line="360" w:lineRule="auto"/>
        <w:ind w:left="360"/>
        <w:jc w:val="both"/>
        <w:rPr>
          <w:rFonts w:eastAsia="Times New Roman" w:cs="Times New Roman"/>
          <w:kern w:val="0"/>
          <w:szCs w:val="24"/>
          <w14:ligatures w14:val="none"/>
        </w:rPr>
      </w:pPr>
      <w:r w:rsidRPr="000F3293">
        <w:rPr>
          <w:rFonts w:eastAsia="Times New Roman" w:cs="Times New Roman"/>
          <w:kern w:val="0"/>
          <w:szCs w:val="24"/>
          <w:lang w:val="en-US"/>
          <w14:ligatures w14:val="none"/>
        </w:rPr>
        <w:t xml:space="preserve">ICOM (2017). </w:t>
      </w:r>
      <w:r w:rsidRPr="000F3293">
        <w:rPr>
          <w:rFonts w:eastAsia="Times New Roman" w:cs="Times New Roman"/>
          <w:i/>
          <w:iCs/>
          <w:kern w:val="0"/>
          <w:szCs w:val="24"/>
          <w:lang w:val="en-US"/>
          <w14:ligatures w14:val="none"/>
        </w:rPr>
        <w:t>Code of Ethics for Museums</w:t>
      </w:r>
      <w:r w:rsidRPr="000F3293">
        <w:rPr>
          <w:rFonts w:eastAsia="Times New Roman" w:cs="Times New Roman"/>
          <w:kern w:val="0"/>
          <w:szCs w:val="24"/>
          <w:lang w:val="en-US"/>
          <w14:ligatures w14:val="none"/>
        </w:rPr>
        <w:t>. Paris</w:t>
      </w:r>
      <w:r w:rsidRPr="000F3293">
        <w:rPr>
          <w:rFonts w:eastAsia="Times New Roman" w:cs="Times New Roman"/>
          <w:kern w:val="0"/>
          <w:szCs w:val="24"/>
          <w14:ligatures w14:val="none"/>
        </w:rPr>
        <w:t xml:space="preserve">: </w:t>
      </w:r>
      <w:r w:rsidRPr="000F3293">
        <w:rPr>
          <w:rFonts w:eastAsia="Times New Roman" w:cs="Times New Roman"/>
          <w:kern w:val="0"/>
          <w:szCs w:val="24"/>
          <w:lang w:val="en-US"/>
          <w14:ligatures w14:val="none"/>
        </w:rPr>
        <w:t>ICOM</w:t>
      </w:r>
      <w:r w:rsidRPr="000F3293">
        <w:rPr>
          <w:rFonts w:eastAsia="Times New Roman" w:cs="Times New Roman"/>
          <w:kern w:val="0"/>
          <w:szCs w:val="24"/>
          <w14:ligatures w14:val="none"/>
        </w:rPr>
        <w:t xml:space="preserve">. </w:t>
      </w:r>
      <w:r w:rsidRPr="000F3293">
        <w:t xml:space="preserve">Ανακτήθηκε 03 Μαρτίου 2026 από </w:t>
      </w:r>
      <w:hyperlink r:id="rId49" w:history="1">
        <w:r w:rsidRPr="000F3293">
          <w:rPr>
            <w:rStyle w:val="-"/>
            <w:rFonts w:eastAsia="Times New Roman" w:cs="Times New Roman"/>
            <w:kern w:val="0"/>
            <w:szCs w:val="24"/>
            <w:lang w:val="en-US"/>
            <w14:ligatures w14:val="none"/>
          </w:rPr>
          <w:t>https</w:t>
        </w:r>
        <w:r w:rsidRPr="000F3293">
          <w:rPr>
            <w:rStyle w:val="-"/>
            <w:rFonts w:eastAsia="Times New Roman" w:cs="Times New Roman"/>
            <w:kern w:val="0"/>
            <w:szCs w:val="24"/>
            <w14:ligatures w14:val="none"/>
          </w:rPr>
          <w:t>://</w:t>
        </w:r>
        <w:proofErr w:type="spellStart"/>
        <w:r w:rsidRPr="000F3293">
          <w:rPr>
            <w:rStyle w:val="-"/>
            <w:rFonts w:eastAsia="Times New Roman" w:cs="Times New Roman"/>
            <w:kern w:val="0"/>
            <w:szCs w:val="24"/>
            <w:lang w:val="en-US"/>
            <w14:ligatures w14:val="none"/>
          </w:rPr>
          <w:t>icom</w:t>
        </w:r>
        <w:proofErr w:type="spellEnd"/>
        <w:r w:rsidRPr="000F3293">
          <w:rPr>
            <w:rStyle w:val="-"/>
            <w:rFonts w:eastAsia="Times New Roman" w:cs="Times New Roman"/>
            <w:kern w:val="0"/>
            <w:szCs w:val="24"/>
            <w14:ligatures w14:val="none"/>
          </w:rPr>
          <w:t>.</w:t>
        </w:r>
        <w:r w:rsidRPr="000F3293">
          <w:rPr>
            <w:rStyle w:val="-"/>
            <w:rFonts w:eastAsia="Times New Roman" w:cs="Times New Roman"/>
            <w:kern w:val="0"/>
            <w:szCs w:val="24"/>
            <w:lang w:val="en-US"/>
            <w14:ligatures w14:val="none"/>
          </w:rPr>
          <w:t>museum</w:t>
        </w:r>
        <w:r w:rsidRPr="000F3293">
          <w:rPr>
            <w:rStyle w:val="-"/>
            <w:rFonts w:eastAsia="Times New Roman" w:cs="Times New Roman"/>
            <w:kern w:val="0"/>
            <w:szCs w:val="24"/>
            <w14:ligatures w14:val="none"/>
          </w:rPr>
          <w:t>/</w:t>
        </w:r>
        <w:r w:rsidRPr="000F3293">
          <w:rPr>
            <w:rStyle w:val="-"/>
            <w:rFonts w:eastAsia="Times New Roman" w:cs="Times New Roman"/>
            <w:kern w:val="0"/>
            <w:szCs w:val="24"/>
            <w:lang w:val="en-US"/>
            <w14:ligatures w14:val="none"/>
          </w:rPr>
          <w:t>wp</w:t>
        </w:r>
        <w:r w:rsidRPr="000F3293">
          <w:rPr>
            <w:rStyle w:val="-"/>
            <w:rFonts w:eastAsia="Times New Roman" w:cs="Times New Roman"/>
            <w:kern w:val="0"/>
            <w:szCs w:val="24"/>
            <w14:ligatures w14:val="none"/>
          </w:rPr>
          <w:t>-</w:t>
        </w:r>
        <w:r w:rsidRPr="000F3293">
          <w:rPr>
            <w:rStyle w:val="-"/>
            <w:rFonts w:eastAsia="Times New Roman" w:cs="Times New Roman"/>
            <w:kern w:val="0"/>
            <w:szCs w:val="24"/>
            <w:lang w:val="en-US"/>
            <w14:ligatures w14:val="none"/>
          </w:rPr>
          <w:t>content</w:t>
        </w:r>
        <w:r w:rsidRPr="000F3293">
          <w:rPr>
            <w:rStyle w:val="-"/>
            <w:rFonts w:eastAsia="Times New Roman" w:cs="Times New Roman"/>
            <w:kern w:val="0"/>
            <w:szCs w:val="24"/>
            <w14:ligatures w14:val="none"/>
          </w:rPr>
          <w:t>/</w:t>
        </w:r>
        <w:r w:rsidRPr="000F3293">
          <w:rPr>
            <w:rStyle w:val="-"/>
            <w:rFonts w:eastAsia="Times New Roman" w:cs="Times New Roman"/>
            <w:kern w:val="0"/>
            <w:szCs w:val="24"/>
            <w:lang w:val="en-US"/>
            <w14:ligatures w14:val="none"/>
          </w:rPr>
          <w:t>uploads</w:t>
        </w:r>
        <w:r w:rsidRPr="000F3293">
          <w:rPr>
            <w:rStyle w:val="-"/>
            <w:rFonts w:eastAsia="Times New Roman" w:cs="Times New Roman"/>
            <w:kern w:val="0"/>
            <w:szCs w:val="24"/>
            <w14:ligatures w14:val="none"/>
          </w:rPr>
          <w:t>/2018/07/</w:t>
        </w:r>
        <w:r w:rsidRPr="000F3293">
          <w:rPr>
            <w:rStyle w:val="-"/>
            <w:rFonts w:eastAsia="Times New Roman" w:cs="Times New Roman"/>
            <w:kern w:val="0"/>
            <w:szCs w:val="24"/>
            <w:lang w:val="en-US"/>
            <w14:ligatures w14:val="none"/>
          </w:rPr>
          <w:t>ICOM</w:t>
        </w:r>
        <w:r w:rsidRPr="000F3293">
          <w:rPr>
            <w:rStyle w:val="-"/>
            <w:rFonts w:eastAsia="Times New Roman" w:cs="Times New Roman"/>
            <w:kern w:val="0"/>
            <w:szCs w:val="24"/>
            <w14:ligatures w14:val="none"/>
          </w:rPr>
          <w:t>-</w:t>
        </w:r>
        <w:r w:rsidRPr="000F3293">
          <w:rPr>
            <w:rStyle w:val="-"/>
            <w:rFonts w:eastAsia="Times New Roman" w:cs="Times New Roman"/>
            <w:kern w:val="0"/>
            <w:szCs w:val="24"/>
            <w:lang w:val="en-US"/>
            <w14:ligatures w14:val="none"/>
          </w:rPr>
          <w:t>code</w:t>
        </w:r>
        <w:r w:rsidRPr="000F3293">
          <w:rPr>
            <w:rStyle w:val="-"/>
            <w:rFonts w:eastAsia="Times New Roman" w:cs="Times New Roman"/>
            <w:kern w:val="0"/>
            <w:szCs w:val="24"/>
            <w14:ligatures w14:val="none"/>
          </w:rPr>
          <w:t>-</w:t>
        </w:r>
        <w:r w:rsidRPr="000F3293">
          <w:rPr>
            <w:rStyle w:val="-"/>
            <w:rFonts w:eastAsia="Times New Roman" w:cs="Times New Roman"/>
            <w:kern w:val="0"/>
            <w:szCs w:val="24"/>
            <w:lang w:val="en-US"/>
            <w14:ligatures w14:val="none"/>
          </w:rPr>
          <w:t>En</w:t>
        </w:r>
        <w:r w:rsidRPr="000F3293">
          <w:rPr>
            <w:rStyle w:val="-"/>
            <w:rFonts w:eastAsia="Times New Roman" w:cs="Times New Roman"/>
            <w:kern w:val="0"/>
            <w:szCs w:val="24"/>
            <w14:ligatures w14:val="none"/>
          </w:rPr>
          <w:t>-</w:t>
        </w:r>
        <w:r w:rsidRPr="000F3293">
          <w:rPr>
            <w:rStyle w:val="-"/>
            <w:rFonts w:eastAsia="Times New Roman" w:cs="Times New Roman"/>
            <w:kern w:val="0"/>
            <w:szCs w:val="24"/>
            <w:lang w:val="en-US"/>
            <w14:ligatures w14:val="none"/>
          </w:rPr>
          <w:t>web</w:t>
        </w:r>
        <w:r w:rsidRPr="000F3293">
          <w:rPr>
            <w:rStyle w:val="-"/>
            <w:rFonts w:eastAsia="Times New Roman" w:cs="Times New Roman"/>
            <w:kern w:val="0"/>
            <w:szCs w:val="24"/>
            <w14:ligatures w14:val="none"/>
          </w:rPr>
          <w:t>.</w:t>
        </w:r>
        <w:r w:rsidRPr="000F3293">
          <w:rPr>
            <w:rStyle w:val="-"/>
            <w:rFonts w:eastAsia="Times New Roman" w:cs="Times New Roman"/>
            <w:kern w:val="0"/>
            <w:szCs w:val="24"/>
            <w:lang w:val="en-US"/>
            <w14:ligatures w14:val="none"/>
          </w:rPr>
          <w:t>pdf</w:t>
        </w:r>
      </w:hyperlink>
      <w:r w:rsidRPr="000F3293">
        <w:rPr>
          <w:rFonts w:eastAsia="Times New Roman" w:cs="Times New Roman"/>
          <w:kern w:val="0"/>
          <w:szCs w:val="24"/>
          <w14:ligatures w14:val="none"/>
        </w:rPr>
        <w:t xml:space="preserve"> </w:t>
      </w:r>
    </w:p>
    <w:p w14:paraId="36685BD5" w14:textId="77777777" w:rsidR="008D6D7C" w:rsidRPr="000F3293" w:rsidRDefault="008D6D7C" w:rsidP="00417A98">
      <w:pPr>
        <w:pStyle w:val="Web"/>
        <w:spacing w:line="360" w:lineRule="auto"/>
        <w:ind w:left="360"/>
        <w:jc w:val="both"/>
      </w:pPr>
      <w:r w:rsidRPr="000F3293">
        <w:t xml:space="preserve">In.gr. . (2010, </w:t>
      </w:r>
      <w:proofErr w:type="spellStart"/>
      <w:r w:rsidRPr="000F3293">
        <w:t>November</w:t>
      </w:r>
      <w:proofErr w:type="spellEnd"/>
      <w:r w:rsidRPr="000F3293">
        <w:t xml:space="preserve"> 10). Το Μητροπολιτικό Μουσείο της Νέας Υόρκης επιστρέφει στην Αίγυπτο 19 αντικείμενα. </w:t>
      </w:r>
      <w:r w:rsidRPr="000F3293">
        <w:rPr>
          <w:rStyle w:val="a5"/>
          <w:lang w:val="en-US"/>
        </w:rPr>
        <w:t>In</w:t>
      </w:r>
      <w:r w:rsidRPr="000F3293">
        <w:rPr>
          <w:rStyle w:val="a5"/>
        </w:rPr>
        <w:t>.</w:t>
      </w:r>
      <w:r w:rsidRPr="000F3293">
        <w:rPr>
          <w:rStyle w:val="a5"/>
          <w:lang w:val="en-US"/>
        </w:rPr>
        <w:t>gr</w:t>
      </w:r>
      <w:r w:rsidRPr="000F3293">
        <w:t xml:space="preserve">. Ανακτήθηκε 1 Απριλίου 2026 από </w:t>
      </w:r>
      <w:hyperlink r:id="rId50" w:history="1">
        <w:r w:rsidRPr="000F3293">
          <w:rPr>
            <w:rStyle w:val="-"/>
            <w:rFonts w:eastAsiaTheme="majorEastAsia"/>
            <w:lang w:val="en-US"/>
          </w:rPr>
          <w:t>https</w:t>
        </w:r>
        <w:r w:rsidRPr="000F3293">
          <w:rPr>
            <w:rStyle w:val="-"/>
            <w:rFonts w:eastAsiaTheme="majorEastAsia"/>
          </w:rPr>
          <w:t>://</w:t>
        </w:r>
        <w:r w:rsidRPr="000F3293">
          <w:rPr>
            <w:rStyle w:val="-"/>
            <w:rFonts w:eastAsiaTheme="majorEastAsia"/>
            <w:lang w:val="en-US"/>
          </w:rPr>
          <w:t>www</w:t>
        </w:r>
        <w:r w:rsidRPr="000F3293">
          <w:rPr>
            <w:rStyle w:val="-"/>
            <w:rFonts w:eastAsiaTheme="majorEastAsia"/>
          </w:rPr>
          <w:t>.</w:t>
        </w:r>
        <w:r w:rsidRPr="000F3293">
          <w:rPr>
            <w:rStyle w:val="-"/>
            <w:rFonts w:eastAsiaTheme="majorEastAsia"/>
            <w:lang w:val="en-US"/>
          </w:rPr>
          <w:t>in</w:t>
        </w:r>
        <w:r w:rsidRPr="000F3293">
          <w:rPr>
            <w:rStyle w:val="-"/>
            <w:rFonts w:eastAsiaTheme="majorEastAsia"/>
          </w:rPr>
          <w:t>.</w:t>
        </w:r>
        <w:r w:rsidRPr="000F3293">
          <w:rPr>
            <w:rStyle w:val="-"/>
            <w:rFonts w:eastAsiaTheme="majorEastAsia"/>
            <w:lang w:val="en-US"/>
          </w:rPr>
          <w:t>gr</w:t>
        </w:r>
        <w:r w:rsidRPr="000F3293">
          <w:rPr>
            <w:rStyle w:val="-"/>
            <w:rFonts w:eastAsiaTheme="majorEastAsia"/>
          </w:rPr>
          <w:t>/2010/11/10/</w:t>
        </w:r>
        <w:r w:rsidRPr="000F3293">
          <w:rPr>
            <w:rStyle w:val="-"/>
            <w:rFonts w:eastAsiaTheme="majorEastAsia"/>
            <w:lang w:val="en-US"/>
          </w:rPr>
          <w:t>culture</w:t>
        </w:r>
        <w:r w:rsidRPr="000F3293">
          <w:rPr>
            <w:rStyle w:val="-"/>
            <w:rFonts w:eastAsiaTheme="majorEastAsia"/>
          </w:rPr>
          <w:t>/</w:t>
        </w:r>
        <w:r w:rsidRPr="000F3293">
          <w:rPr>
            <w:rStyle w:val="-"/>
            <w:rFonts w:eastAsiaTheme="majorEastAsia"/>
            <w:lang w:val="en-US"/>
          </w:rPr>
          <w:t>to</w:t>
        </w:r>
        <w:r w:rsidRPr="000F3293">
          <w:rPr>
            <w:rStyle w:val="-"/>
            <w:rFonts w:eastAsiaTheme="majorEastAsia"/>
          </w:rPr>
          <w:t>-</w:t>
        </w:r>
        <w:proofErr w:type="spellStart"/>
        <w:r w:rsidRPr="000F3293">
          <w:rPr>
            <w:rStyle w:val="-"/>
            <w:rFonts w:eastAsiaTheme="majorEastAsia"/>
            <w:lang w:val="en-US"/>
          </w:rPr>
          <w:t>mitropolitko</w:t>
        </w:r>
        <w:proofErr w:type="spellEnd"/>
        <w:r w:rsidRPr="000F3293">
          <w:rPr>
            <w:rStyle w:val="-"/>
            <w:rFonts w:eastAsiaTheme="majorEastAsia"/>
          </w:rPr>
          <w:t>-</w:t>
        </w:r>
        <w:proofErr w:type="spellStart"/>
        <w:r w:rsidRPr="000F3293">
          <w:rPr>
            <w:rStyle w:val="-"/>
            <w:rFonts w:eastAsiaTheme="majorEastAsia"/>
            <w:lang w:val="en-US"/>
          </w:rPr>
          <w:t>moyseio</w:t>
        </w:r>
        <w:proofErr w:type="spellEnd"/>
        <w:r w:rsidRPr="000F3293">
          <w:rPr>
            <w:rStyle w:val="-"/>
            <w:rFonts w:eastAsiaTheme="majorEastAsia"/>
          </w:rPr>
          <w:t>-</w:t>
        </w:r>
        <w:r w:rsidRPr="000F3293">
          <w:rPr>
            <w:rStyle w:val="-"/>
            <w:rFonts w:eastAsiaTheme="majorEastAsia"/>
            <w:lang w:val="en-US"/>
          </w:rPr>
          <w:t>tis</w:t>
        </w:r>
        <w:r w:rsidRPr="000F3293">
          <w:rPr>
            <w:rStyle w:val="-"/>
            <w:rFonts w:eastAsiaTheme="majorEastAsia"/>
          </w:rPr>
          <w:t>-</w:t>
        </w:r>
        <w:proofErr w:type="spellStart"/>
        <w:r w:rsidRPr="000F3293">
          <w:rPr>
            <w:rStyle w:val="-"/>
            <w:rFonts w:eastAsiaTheme="majorEastAsia"/>
            <w:lang w:val="en-US"/>
          </w:rPr>
          <w:t>neas</w:t>
        </w:r>
        <w:proofErr w:type="spellEnd"/>
        <w:r w:rsidRPr="000F3293">
          <w:rPr>
            <w:rStyle w:val="-"/>
            <w:rFonts w:eastAsiaTheme="majorEastAsia"/>
          </w:rPr>
          <w:t>-</w:t>
        </w:r>
        <w:proofErr w:type="spellStart"/>
        <w:r w:rsidRPr="000F3293">
          <w:rPr>
            <w:rStyle w:val="-"/>
            <w:rFonts w:eastAsiaTheme="majorEastAsia"/>
            <w:lang w:val="en-US"/>
          </w:rPr>
          <w:t>yorkis</w:t>
        </w:r>
        <w:proofErr w:type="spellEnd"/>
        <w:r w:rsidRPr="000F3293">
          <w:rPr>
            <w:rStyle w:val="-"/>
            <w:rFonts w:eastAsiaTheme="majorEastAsia"/>
          </w:rPr>
          <w:t>-</w:t>
        </w:r>
        <w:proofErr w:type="spellStart"/>
        <w:r w:rsidRPr="000F3293">
          <w:rPr>
            <w:rStyle w:val="-"/>
            <w:rFonts w:eastAsiaTheme="majorEastAsia"/>
            <w:lang w:val="en-US"/>
          </w:rPr>
          <w:t>epistrefei</w:t>
        </w:r>
        <w:proofErr w:type="spellEnd"/>
        <w:r w:rsidRPr="000F3293">
          <w:rPr>
            <w:rStyle w:val="-"/>
            <w:rFonts w:eastAsiaTheme="majorEastAsia"/>
          </w:rPr>
          <w:t>-</w:t>
        </w:r>
        <w:proofErr w:type="spellStart"/>
        <w:r w:rsidRPr="000F3293">
          <w:rPr>
            <w:rStyle w:val="-"/>
            <w:rFonts w:eastAsiaTheme="majorEastAsia"/>
            <w:lang w:val="en-US"/>
          </w:rPr>
          <w:t>stin</w:t>
        </w:r>
        <w:proofErr w:type="spellEnd"/>
        <w:r w:rsidRPr="000F3293">
          <w:rPr>
            <w:rStyle w:val="-"/>
            <w:rFonts w:eastAsiaTheme="majorEastAsia"/>
          </w:rPr>
          <w:t>-</w:t>
        </w:r>
        <w:proofErr w:type="spellStart"/>
        <w:r w:rsidRPr="000F3293">
          <w:rPr>
            <w:rStyle w:val="-"/>
            <w:rFonts w:eastAsiaTheme="majorEastAsia"/>
            <w:lang w:val="en-US"/>
          </w:rPr>
          <w:t>aigypto</w:t>
        </w:r>
        <w:proofErr w:type="spellEnd"/>
        <w:r w:rsidRPr="000F3293">
          <w:rPr>
            <w:rStyle w:val="-"/>
            <w:rFonts w:eastAsiaTheme="majorEastAsia"/>
          </w:rPr>
          <w:t>-19-</w:t>
        </w:r>
        <w:proofErr w:type="spellStart"/>
        <w:r w:rsidRPr="000F3293">
          <w:rPr>
            <w:rStyle w:val="-"/>
            <w:rFonts w:eastAsiaTheme="majorEastAsia"/>
            <w:lang w:val="en-US"/>
          </w:rPr>
          <w:t>antikeimena</w:t>
        </w:r>
        <w:proofErr w:type="spellEnd"/>
        <w:r w:rsidRPr="000F3293">
          <w:rPr>
            <w:rStyle w:val="-"/>
            <w:rFonts w:eastAsiaTheme="majorEastAsia"/>
          </w:rPr>
          <w:t>/</w:t>
        </w:r>
      </w:hyperlink>
    </w:p>
    <w:p w14:paraId="5C97D4AB" w14:textId="77777777" w:rsidR="008D6D7C" w:rsidRPr="000F3293" w:rsidRDefault="008D6D7C" w:rsidP="00417A98">
      <w:pPr>
        <w:pStyle w:val="Web"/>
        <w:spacing w:line="360" w:lineRule="auto"/>
        <w:ind w:left="360"/>
        <w:jc w:val="both"/>
        <w:rPr>
          <w:lang w:val="en-US"/>
        </w:rPr>
      </w:pPr>
      <w:proofErr w:type="spellStart"/>
      <w:r w:rsidRPr="000F3293">
        <w:rPr>
          <w:lang w:val="en-US"/>
        </w:rPr>
        <w:lastRenderedPageBreak/>
        <w:t>Kavoura</w:t>
      </w:r>
      <w:proofErr w:type="spellEnd"/>
      <w:r w:rsidRPr="000F3293">
        <w:rPr>
          <w:lang w:val="en-US"/>
        </w:rPr>
        <w:t xml:space="preserve">, A., &amp; </w:t>
      </w:r>
      <w:proofErr w:type="spellStart"/>
      <w:r w:rsidRPr="000F3293">
        <w:rPr>
          <w:lang w:val="en-US"/>
        </w:rPr>
        <w:t>Sylaiou</w:t>
      </w:r>
      <w:proofErr w:type="spellEnd"/>
      <w:r w:rsidRPr="000F3293">
        <w:rPr>
          <w:lang w:val="en-US"/>
        </w:rPr>
        <w:t xml:space="preserve">, S. (2018). Effective cultural communication via ICTs and social media use. </w:t>
      </w:r>
      <w:r w:rsidRPr="000F3293">
        <w:rPr>
          <w:rStyle w:val="a5"/>
          <w:lang w:val="en-US"/>
        </w:rPr>
        <w:t>International Journal of Cultural Policy, 24</w:t>
      </w:r>
      <w:r w:rsidRPr="000F3293">
        <w:rPr>
          <w:lang w:val="en-US"/>
        </w:rPr>
        <w:t>(1), 112–115.</w:t>
      </w:r>
    </w:p>
    <w:p w14:paraId="47C6793D" w14:textId="77777777" w:rsidR="008D6D7C" w:rsidRPr="000F3293" w:rsidRDefault="008D6D7C" w:rsidP="00417A98">
      <w:pPr>
        <w:pStyle w:val="Web"/>
        <w:spacing w:line="360" w:lineRule="auto"/>
        <w:ind w:left="360"/>
        <w:jc w:val="both"/>
        <w:rPr>
          <w:lang w:val="en-US"/>
        </w:rPr>
      </w:pPr>
      <w:proofErr w:type="spellStart"/>
      <w:r w:rsidRPr="000F3293">
        <w:rPr>
          <w:lang w:val="en-US"/>
        </w:rPr>
        <w:t>Kersel</w:t>
      </w:r>
      <w:proofErr w:type="spellEnd"/>
      <w:r w:rsidRPr="000F3293">
        <w:rPr>
          <w:lang w:val="en-US"/>
        </w:rPr>
        <w:t xml:space="preserve">, M. (2004). The politics of playing fair, or, who’s losing their marbles? In Y. M. Rowan &amp; U. Baram (Eds.), </w:t>
      </w:r>
      <w:r w:rsidRPr="000F3293">
        <w:rPr>
          <w:i/>
          <w:iCs/>
          <w:lang w:val="en-US"/>
        </w:rPr>
        <w:t>Marketing heritage: Archaeology and the consumption of the past</w:t>
      </w:r>
      <w:r w:rsidRPr="000F3293">
        <w:rPr>
          <w:lang w:val="en-US"/>
        </w:rPr>
        <w:t xml:space="preserve"> (pp. 41–56). Altamira Press.</w:t>
      </w:r>
    </w:p>
    <w:p w14:paraId="24260030" w14:textId="77777777" w:rsidR="008D6D7C" w:rsidRPr="000F3293" w:rsidRDefault="008D6D7C" w:rsidP="00417A98">
      <w:pPr>
        <w:pStyle w:val="Web"/>
        <w:spacing w:line="360" w:lineRule="auto"/>
        <w:ind w:left="360"/>
        <w:jc w:val="both"/>
        <w:rPr>
          <w:lang w:val="en-US"/>
        </w:rPr>
      </w:pPr>
      <w:r w:rsidRPr="000F3293">
        <w:rPr>
          <w:lang w:val="en-US"/>
        </w:rPr>
        <w:t xml:space="preserve">Korka, E. (2018). Greece: Cultural heritage management. In </w:t>
      </w:r>
      <w:r w:rsidRPr="000F3293">
        <w:rPr>
          <w:rStyle w:val="a5"/>
          <w:lang w:val="en-US"/>
        </w:rPr>
        <w:t>Cultural heritage management</w:t>
      </w:r>
      <w:r w:rsidRPr="000F3293">
        <w:rPr>
          <w:lang w:val="en-US"/>
        </w:rPr>
        <w:t xml:space="preserve"> (pp. 45–60).</w:t>
      </w:r>
    </w:p>
    <w:p w14:paraId="60E201E9" w14:textId="77777777" w:rsidR="008D6D7C" w:rsidRPr="000F3293" w:rsidRDefault="008D6D7C" w:rsidP="00417A98">
      <w:pPr>
        <w:pStyle w:val="Web"/>
        <w:spacing w:line="360" w:lineRule="auto"/>
        <w:ind w:left="360"/>
        <w:jc w:val="both"/>
        <w:rPr>
          <w:lang w:val="en-US"/>
        </w:rPr>
      </w:pPr>
      <w:r w:rsidRPr="000F3293">
        <w:rPr>
          <w:lang w:val="en-US"/>
        </w:rPr>
        <w:t xml:space="preserve">MacGregor, N. (2009). To shape the citizens of “that great city, the world.” In J. Cuno (Ed.), </w:t>
      </w:r>
      <w:r w:rsidRPr="000F3293">
        <w:rPr>
          <w:i/>
          <w:iCs/>
          <w:lang w:val="en-US"/>
        </w:rPr>
        <w:t>Whose culture?: The promise of museums and the debate over antiquities</w:t>
      </w:r>
      <w:r w:rsidRPr="000F3293">
        <w:rPr>
          <w:lang w:val="en-US"/>
        </w:rPr>
        <w:t>. Princeton University Press.</w:t>
      </w:r>
    </w:p>
    <w:p w14:paraId="597024A1" w14:textId="77777777" w:rsidR="008D6D7C" w:rsidRPr="000F3293" w:rsidRDefault="008D6D7C" w:rsidP="00417A98">
      <w:pPr>
        <w:pStyle w:val="Web"/>
        <w:spacing w:line="360" w:lineRule="auto"/>
        <w:ind w:left="360"/>
        <w:jc w:val="both"/>
        <w:rPr>
          <w:lang w:val="en-US"/>
        </w:rPr>
      </w:pPr>
      <w:r w:rsidRPr="000F3293">
        <w:rPr>
          <w:lang w:val="en-US"/>
        </w:rPr>
        <w:t xml:space="preserve">Mark, S. (2009). A greater role for cultural diplomacy. </w:t>
      </w:r>
      <w:proofErr w:type="spellStart"/>
      <w:r w:rsidRPr="000F3293">
        <w:rPr>
          <w:rStyle w:val="a5"/>
          <w:lang w:val="en-US"/>
        </w:rPr>
        <w:t>Clingendael</w:t>
      </w:r>
      <w:proofErr w:type="spellEnd"/>
      <w:r w:rsidRPr="000F3293">
        <w:rPr>
          <w:rStyle w:val="a5"/>
          <w:lang w:val="en-US"/>
        </w:rPr>
        <w:t xml:space="preserve"> Discussion Papers in Diplomacy, 114</w:t>
      </w:r>
      <w:r w:rsidRPr="000F3293">
        <w:rPr>
          <w:lang w:val="en-US"/>
        </w:rPr>
        <w:t>, 1–20.</w:t>
      </w:r>
    </w:p>
    <w:p w14:paraId="3E3A1E4A" w14:textId="77777777" w:rsidR="008D6D7C" w:rsidRPr="000F3293" w:rsidRDefault="008D6D7C" w:rsidP="00D441B6">
      <w:pPr>
        <w:pStyle w:val="Web"/>
        <w:spacing w:line="360" w:lineRule="auto"/>
        <w:ind w:left="360"/>
        <w:jc w:val="both"/>
        <w:rPr>
          <w:lang w:val="en-US"/>
        </w:rPr>
      </w:pPr>
      <w:r w:rsidRPr="000F3293">
        <w:rPr>
          <w:lang w:val="en-US"/>
        </w:rPr>
        <w:t xml:space="preserve">Merriman, N. (2024). </w:t>
      </w:r>
      <w:r w:rsidRPr="000F3293">
        <w:rPr>
          <w:i/>
          <w:iCs/>
          <w:lang w:val="en-US"/>
        </w:rPr>
        <w:t>Returning the Benin Bronzes: A case study of the Horniman’s restitution</w:t>
      </w:r>
      <w:r w:rsidRPr="000F3293">
        <w:rPr>
          <w:lang w:val="en-US"/>
        </w:rPr>
        <w:t xml:space="preserve">. Palgrave Macmillan. </w:t>
      </w:r>
      <w:hyperlink r:id="rId51" w:history="1">
        <w:r w:rsidRPr="000F3293">
          <w:rPr>
            <w:rStyle w:val="-"/>
            <w:lang w:val="en-US"/>
          </w:rPr>
          <w:t>https://doi.org/10.1007/978-3-031-56101-6</w:t>
        </w:r>
      </w:hyperlink>
      <w:r w:rsidRPr="000F3293">
        <w:rPr>
          <w:lang w:val="en-US"/>
        </w:rPr>
        <w:t xml:space="preserve">  </w:t>
      </w:r>
    </w:p>
    <w:p w14:paraId="56A8C2A4" w14:textId="77777777" w:rsidR="008D6D7C" w:rsidRPr="000F3293" w:rsidRDefault="008D6D7C" w:rsidP="00417A98">
      <w:pPr>
        <w:spacing w:line="360" w:lineRule="auto"/>
        <w:ind w:left="360"/>
        <w:jc w:val="both"/>
        <w:rPr>
          <w:rFonts w:cs="Times New Roman"/>
        </w:rPr>
      </w:pPr>
      <w:r w:rsidRPr="000F3293">
        <w:rPr>
          <w:rFonts w:cs="Times New Roman"/>
          <w:lang w:val="en-US"/>
        </w:rPr>
        <w:t xml:space="preserve">Merryman, J. H. (1985). Thinking about the Elgin Marbles. </w:t>
      </w:r>
      <w:r w:rsidRPr="000F3293">
        <w:rPr>
          <w:rStyle w:val="a5"/>
          <w:rFonts w:cs="Times New Roman"/>
          <w:lang w:val="en-US"/>
        </w:rPr>
        <w:t>Michigan</w:t>
      </w:r>
      <w:r w:rsidRPr="000F3293">
        <w:rPr>
          <w:rStyle w:val="a5"/>
          <w:rFonts w:cs="Times New Roman"/>
        </w:rPr>
        <w:t xml:space="preserve"> </w:t>
      </w:r>
      <w:r w:rsidRPr="000F3293">
        <w:rPr>
          <w:rStyle w:val="a5"/>
          <w:rFonts w:cs="Times New Roman"/>
          <w:lang w:val="en-US"/>
        </w:rPr>
        <w:t>Law</w:t>
      </w:r>
      <w:r w:rsidRPr="000F3293">
        <w:rPr>
          <w:rStyle w:val="a5"/>
          <w:rFonts w:cs="Times New Roman"/>
        </w:rPr>
        <w:t xml:space="preserve"> </w:t>
      </w:r>
      <w:r w:rsidRPr="000F3293">
        <w:rPr>
          <w:rStyle w:val="a5"/>
          <w:rFonts w:cs="Times New Roman"/>
          <w:lang w:val="en-US"/>
        </w:rPr>
        <w:t>Review</w:t>
      </w:r>
      <w:r w:rsidRPr="000F3293">
        <w:rPr>
          <w:rStyle w:val="a5"/>
          <w:rFonts w:cs="Times New Roman"/>
        </w:rPr>
        <w:t>, 83</w:t>
      </w:r>
      <w:r w:rsidRPr="000F3293">
        <w:rPr>
          <w:rFonts w:cs="Times New Roman"/>
        </w:rPr>
        <w:t xml:space="preserve">(8), 1881–1890. </w:t>
      </w:r>
      <w:r w:rsidRPr="000F3293">
        <w:t xml:space="preserve">Ανακτήθηκε 03 Μαρτίου 2026 από </w:t>
      </w:r>
      <w:hyperlink r:id="rId52" w:history="1">
        <w:r w:rsidRPr="000F3293">
          <w:rPr>
            <w:rStyle w:val="-"/>
            <w:rFonts w:cs="Times New Roman"/>
            <w:lang w:val="en-US"/>
          </w:rPr>
          <w:t>https</w:t>
        </w:r>
        <w:r w:rsidRPr="000F3293">
          <w:rPr>
            <w:rStyle w:val="-"/>
            <w:rFonts w:cs="Times New Roman"/>
          </w:rPr>
          <w:t>://</w:t>
        </w:r>
        <w:r w:rsidRPr="000F3293">
          <w:rPr>
            <w:rStyle w:val="-"/>
            <w:rFonts w:cs="Times New Roman"/>
            <w:lang w:val="en-US"/>
          </w:rPr>
          <w:t>repository</w:t>
        </w:r>
        <w:r w:rsidRPr="000F3293">
          <w:rPr>
            <w:rStyle w:val="-"/>
            <w:rFonts w:cs="Times New Roman"/>
          </w:rPr>
          <w:t>.</w:t>
        </w:r>
        <w:r w:rsidRPr="000F3293">
          <w:rPr>
            <w:rStyle w:val="-"/>
            <w:rFonts w:cs="Times New Roman"/>
            <w:lang w:val="en-US"/>
          </w:rPr>
          <w:t>law</w:t>
        </w:r>
        <w:r w:rsidRPr="000F3293">
          <w:rPr>
            <w:rStyle w:val="-"/>
            <w:rFonts w:cs="Times New Roman"/>
          </w:rPr>
          <w:t>.</w:t>
        </w:r>
        <w:proofErr w:type="spellStart"/>
        <w:r w:rsidRPr="000F3293">
          <w:rPr>
            <w:rStyle w:val="-"/>
            <w:rFonts w:cs="Times New Roman"/>
            <w:lang w:val="en-US"/>
          </w:rPr>
          <w:t>umich</w:t>
        </w:r>
        <w:proofErr w:type="spellEnd"/>
        <w:r w:rsidRPr="000F3293">
          <w:rPr>
            <w:rStyle w:val="-"/>
            <w:rFonts w:cs="Times New Roman"/>
          </w:rPr>
          <w:t>.</w:t>
        </w:r>
        <w:proofErr w:type="spellStart"/>
        <w:r w:rsidRPr="000F3293">
          <w:rPr>
            <w:rStyle w:val="-"/>
            <w:rFonts w:cs="Times New Roman"/>
            <w:lang w:val="en-US"/>
          </w:rPr>
          <w:t>edu</w:t>
        </w:r>
        <w:proofErr w:type="spellEnd"/>
        <w:r w:rsidRPr="000F3293">
          <w:rPr>
            <w:rStyle w:val="-"/>
            <w:rFonts w:cs="Times New Roman"/>
          </w:rPr>
          <w:t>/</w:t>
        </w:r>
        <w:proofErr w:type="spellStart"/>
        <w:r w:rsidRPr="000F3293">
          <w:rPr>
            <w:rStyle w:val="-"/>
            <w:rFonts w:cs="Times New Roman"/>
            <w:lang w:val="en-US"/>
          </w:rPr>
          <w:t>cgi</w:t>
        </w:r>
        <w:proofErr w:type="spellEnd"/>
        <w:r w:rsidRPr="000F3293">
          <w:rPr>
            <w:rStyle w:val="-"/>
            <w:rFonts w:cs="Times New Roman"/>
          </w:rPr>
          <w:t>/</w:t>
        </w:r>
        <w:proofErr w:type="spellStart"/>
        <w:r w:rsidRPr="000F3293">
          <w:rPr>
            <w:rStyle w:val="-"/>
            <w:rFonts w:cs="Times New Roman"/>
            <w:lang w:val="en-US"/>
          </w:rPr>
          <w:t>viewcontent</w:t>
        </w:r>
        <w:proofErr w:type="spellEnd"/>
        <w:r w:rsidRPr="000F3293">
          <w:rPr>
            <w:rStyle w:val="-"/>
            <w:rFonts w:cs="Times New Roman"/>
          </w:rPr>
          <w:t>.</w:t>
        </w:r>
        <w:proofErr w:type="spellStart"/>
        <w:r w:rsidRPr="000F3293">
          <w:rPr>
            <w:rStyle w:val="-"/>
            <w:rFonts w:cs="Times New Roman"/>
            <w:lang w:val="en-US"/>
          </w:rPr>
          <w:t>cgi</w:t>
        </w:r>
        <w:proofErr w:type="spellEnd"/>
        <w:r w:rsidRPr="000F3293">
          <w:rPr>
            <w:rStyle w:val="-"/>
            <w:rFonts w:cs="Times New Roman"/>
          </w:rPr>
          <w:t>?</w:t>
        </w:r>
        <w:r w:rsidRPr="000F3293">
          <w:rPr>
            <w:rStyle w:val="-"/>
            <w:rFonts w:cs="Times New Roman"/>
            <w:lang w:val="en-US"/>
          </w:rPr>
          <w:t>params</w:t>
        </w:r>
        <w:r w:rsidRPr="000F3293">
          <w:rPr>
            <w:rStyle w:val="-"/>
            <w:rFonts w:cs="Times New Roman"/>
          </w:rPr>
          <w:t>=/</w:t>
        </w:r>
        <w:r w:rsidRPr="000F3293">
          <w:rPr>
            <w:rStyle w:val="-"/>
            <w:rFonts w:cs="Times New Roman"/>
            <w:lang w:val="en-US"/>
          </w:rPr>
          <w:t>context</w:t>
        </w:r>
        <w:r w:rsidRPr="000F3293">
          <w:rPr>
            <w:rStyle w:val="-"/>
            <w:rFonts w:cs="Times New Roman"/>
          </w:rPr>
          <w:t>/</w:t>
        </w:r>
        <w:proofErr w:type="spellStart"/>
        <w:r w:rsidRPr="000F3293">
          <w:rPr>
            <w:rStyle w:val="-"/>
            <w:rFonts w:cs="Times New Roman"/>
            <w:lang w:val="en-US"/>
          </w:rPr>
          <w:t>mlr</w:t>
        </w:r>
        <w:proofErr w:type="spellEnd"/>
        <w:r w:rsidRPr="000F3293">
          <w:rPr>
            <w:rStyle w:val="-"/>
            <w:rFonts w:cs="Times New Roman"/>
          </w:rPr>
          <w:t>/</w:t>
        </w:r>
        <w:r w:rsidRPr="000F3293">
          <w:rPr>
            <w:rStyle w:val="-"/>
            <w:rFonts w:cs="Times New Roman"/>
            <w:lang w:val="en-US"/>
          </w:rPr>
          <w:t>article</w:t>
        </w:r>
        <w:r w:rsidRPr="000F3293">
          <w:rPr>
            <w:rStyle w:val="-"/>
            <w:rFonts w:cs="Times New Roman"/>
          </w:rPr>
          <w:t>/2640/&amp;</w:t>
        </w:r>
        <w:r w:rsidRPr="000F3293">
          <w:rPr>
            <w:rStyle w:val="-"/>
            <w:rFonts w:cs="Times New Roman"/>
            <w:lang w:val="en-US"/>
          </w:rPr>
          <w:t>path</w:t>
        </w:r>
        <w:r w:rsidRPr="000F3293">
          <w:rPr>
            <w:rStyle w:val="-"/>
            <w:rFonts w:cs="Times New Roman"/>
          </w:rPr>
          <w:t>_</w:t>
        </w:r>
        <w:r w:rsidRPr="000F3293">
          <w:rPr>
            <w:rStyle w:val="-"/>
            <w:rFonts w:cs="Times New Roman"/>
            <w:lang w:val="en-US"/>
          </w:rPr>
          <w:t>info</w:t>
        </w:r>
        <w:r w:rsidRPr="000F3293">
          <w:rPr>
            <w:rStyle w:val="-"/>
            <w:rFonts w:cs="Times New Roman"/>
          </w:rPr>
          <w:t>=</w:t>
        </w:r>
      </w:hyperlink>
      <w:r w:rsidRPr="000F3293">
        <w:rPr>
          <w:rFonts w:cs="Times New Roman"/>
        </w:rPr>
        <w:t xml:space="preserve"> </w:t>
      </w:r>
    </w:p>
    <w:p w14:paraId="233FEB8A" w14:textId="77777777" w:rsidR="008D6D7C" w:rsidRPr="000F3293" w:rsidRDefault="008D6D7C" w:rsidP="00417A98">
      <w:pPr>
        <w:pStyle w:val="Web"/>
        <w:spacing w:line="360" w:lineRule="auto"/>
        <w:ind w:left="360"/>
        <w:jc w:val="both"/>
        <w:rPr>
          <w:lang w:val="en-US"/>
        </w:rPr>
      </w:pPr>
      <w:r w:rsidRPr="000F3293">
        <w:rPr>
          <w:lang w:val="en-US"/>
        </w:rPr>
        <w:t xml:space="preserve">Merryman, J. H. (2005). Cultural property internationalism. </w:t>
      </w:r>
      <w:r w:rsidRPr="000F3293">
        <w:rPr>
          <w:rStyle w:val="a5"/>
          <w:lang w:val="en-US"/>
        </w:rPr>
        <w:t>International Journal of Cultural Property, 12</w:t>
      </w:r>
      <w:r w:rsidRPr="000F3293">
        <w:rPr>
          <w:lang w:val="en-US"/>
        </w:rPr>
        <w:t xml:space="preserve">(1), 11–39. </w:t>
      </w:r>
      <w:hyperlink r:id="rId53" w:history="1">
        <w:r w:rsidRPr="000F3293">
          <w:rPr>
            <w:rStyle w:val="-"/>
            <w:rFonts w:eastAsiaTheme="majorEastAsia"/>
            <w:lang w:val="en-US"/>
          </w:rPr>
          <w:t>https://doi.org/10.1017/S0940739105050046</w:t>
        </w:r>
      </w:hyperlink>
    </w:p>
    <w:p w14:paraId="663BDE6E" w14:textId="77777777" w:rsidR="008D6D7C" w:rsidRPr="000F3293" w:rsidRDefault="008D6D7C" w:rsidP="00417A98">
      <w:pPr>
        <w:pStyle w:val="Web"/>
        <w:spacing w:line="360" w:lineRule="auto"/>
        <w:ind w:left="360"/>
        <w:jc w:val="both"/>
        <w:rPr>
          <w:lang w:val="en-US"/>
        </w:rPr>
      </w:pPr>
      <w:r w:rsidRPr="000F3293">
        <w:rPr>
          <w:lang w:val="en-US"/>
        </w:rPr>
        <w:t xml:space="preserve">Meskell, L. (2018). </w:t>
      </w:r>
      <w:r w:rsidRPr="000F3293">
        <w:rPr>
          <w:rStyle w:val="a5"/>
          <w:lang w:val="en-US"/>
        </w:rPr>
        <w:t>A future in ruins: UNESCO, World Heritage, and the dream of peace</w:t>
      </w:r>
      <w:r w:rsidRPr="000F3293">
        <w:rPr>
          <w:lang w:val="en-US"/>
        </w:rPr>
        <w:t>. Oxford: Oxford University Press.</w:t>
      </w:r>
    </w:p>
    <w:p w14:paraId="21D0FEE0" w14:textId="77777777" w:rsidR="008D6D7C" w:rsidRPr="000F3293" w:rsidRDefault="008D6D7C" w:rsidP="00417A98">
      <w:pPr>
        <w:spacing w:before="100" w:beforeAutospacing="1" w:after="100" w:afterAutospacing="1" w:line="360" w:lineRule="auto"/>
        <w:ind w:left="360"/>
        <w:jc w:val="both"/>
        <w:rPr>
          <w:rFonts w:cs="Times New Roman"/>
          <w:szCs w:val="24"/>
          <w:lang w:val="en-US"/>
        </w:rPr>
      </w:pPr>
      <w:r w:rsidRPr="000F3293">
        <w:rPr>
          <w:rFonts w:cs="Times New Roman"/>
          <w:lang w:val="en-US"/>
        </w:rPr>
        <w:lastRenderedPageBreak/>
        <w:t xml:space="preserve">Murphy, S. A. (2024). Restitution and repatriation as an opportunity, not a loss: Some reflections on recent Southeast Asian cases. </w:t>
      </w:r>
      <w:r w:rsidRPr="000F3293">
        <w:rPr>
          <w:rStyle w:val="a5"/>
          <w:rFonts w:cs="Times New Roman"/>
          <w:lang w:val="en-US"/>
        </w:rPr>
        <w:t>Antiquity, 98</w:t>
      </w:r>
      <w:r w:rsidRPr="000F3293">
        <w:rPr>
          <w:rFonts w:cs="Times New Roman"/>
          <w:lang w:val="en-US"/>
        </w:rPr>
        <w:t xml:space="preserve">(401), 1395–1402. </w:t>
      </w:r>
      <w:hyperlink r:id="rId54" w:tgtFrame="_blank" w:history="1">
        <w:r w:rsidRPr="000F3293">
          <w:rPr>
            <w:rStyle w:val="-"/>
            <w:rFonts w:cs="Times New Roman"/>
            <w:szCs w:val="24"/>
            <w:bdr w:val="none" w:sz="0" w:space="0" w:color="auto" w:frame="1"/>
            <w:shd w:val="clear" w:color="auto" w:fill="FFFFFF"/>
            <w:lang w:val="en-US"/>
          </w:rPr>
          <w:t>10.15184/aqy.2024.129</w:t>
        </w:r>
      </w:hyperlink>
    </w:p>
    <w:p w14:paraId="69CE93D7" w14:textId="77777777" w:rsidR="008D6D7C" w:rsidRPr="000F3293" w:rsidRDefault="008D6D7C" w:rsidP="00417A98">
      <w:pPr>
        <w:pStyle w:val="Web"/>
        <w:spacing w:line="360" w:lineRule="auto"/>
        <w:ind w:left="360"/>
        <w:jc w:val="both"/>
        <w:rPr>
          <w:lang w:val="en-US"/>
        </w:rPr>
      </w:pPr>
      <w:proofErr w:type="spellStart"/>
      <w:r w:rsidRPr="000F3293">
        <w:rPr>
          <w:lang w:val="en-US"/>
        </w:rPr>
        <w:t>Musiani</w:t>
      </w:r>
      <w:proofErr w:type="spellEnd"/>
      <w:r w:rsidRPr="000F3293">
        <w:rPr>
          <w:lang w:val="en-US"/>
        </w:rPr>
        <w:t xml:space="preserve">, F., &amp; Schafer, V. (2017). Digital heritage and heritagization. </w:t>
      </w:r>
      <w:r w:rsidRPr="000F3293">
        <w:rPr>
          <w:rStyle w:val="a5"/>
          <w:lang w:val="en-US"/>
        </w:rPr>
        <w:t>RESET, 6</w:t>
      </w:r>
      <w:r w:rsidRPr="000F3293">
        <w:rPr>
          <w:lang w:val="en-US"/>
        </w:rPr>
        <w:t xml:space="preserve">. </w:t>
      </w:r>
      <w:hyperlink r:id="rId55" w:history="1">
        <w:r w:rsidRPr="000F3293">
          <w:rPr>
            <w:rStyle w:val="-"/>
            <w:rFonts w:eastAsiaTheme="majorEastAsia"/>
            <w:lang w:val="en-US"/>
          </w:rPr>
          <w:t>https://doi.org/10.4000/reset.806</w:t>
        </w:r>
      </w:hyperlink>
    </w:p>
    <w:p w14:paraId="350A8F59" w14:textId="77777777" w:rsidR="008D6D7C" w:rsidRPr="000F3293" w:rsidRDefault="008D6D7C" w:rsidP="00417A98">
      <w:pPr>
        <w:spacing w:before="100" w:beforeAutospacing="1" w:after="100" w:afterAutospacing="1" w:line="360" w:lineRule="auto"/>
        <w:ind w:left="360"/>
        <w:jc w:val="both"/>
        <w:rPr>
          <w:rFonts w:cs="Times New Roman"/>
          <w:lang w:val="en-US"/>
        </w:rPr>
      </w:pPr>
      <w:r w:rsidRPr="000F3293">
        <w:rPr>
          <w:rFonts w:cs="Times New Roman"/>
          <w:lang w:val="en-US"/>
        </w:rPr>
        <w:t xml:space="preserve">Nye, J. (2004). </w:t>
      </w:r>
      <w:r w:rsidRPr="000F3293">
        <w:rPr>
          <w:rStyle w:val="a5"/>
          <w:rFonts w:cs="Times New Roman"/>
          <w:lang w:val="en-US"/>
        </w:rPr>
        <w:t>Soft power: The means to success in world politics</w:t>
      </w:r>
      <w:r w:rsidRPr="000F3293">
        <w:rPr>
          <w:rFonts w:cs="Times New Roman"/>
          <w:lang w:val="en-US"/>
        </w:rPr>
        <w:t>. New York: Public Affairs.</w:t>
      </w:r>
    </w:p>
    <w:p w14:paraId="712A26EA" w14:textId="77777777" w:rsidR="008D6D7C" w:rsidRPr="000F3293" w:rsidRDefault="008D6D7C" w:rsidP="00417A98">
      <w:pPr>
        <w:pStyle w:val="Web"/>
        <w:spacing w:line="360" w:lineRule="auto"/>
        <w:ind w:left="360"/>
        <w:jc w:val="both"/>
        <w:rPr>
          <w:lang w:val="en-US"/>
        </w:rPr>
      </w:pPr>
      <w:r w:rsidRPr="000F3293">
        <w:rPr>
          <w:lang w:val="en-US"/>
        </w:rPr>
        <w:t xml:space="preserve">O’Keefe, P. J. (2006). </w:t>
      </w:r>
      <w:r w:rsidRPr="000F3293">
        <w:rPr>
          <w:rStyle w:val="a5"/>
          <w:lang w:val="en-US"/>
        </w:rPr>
        <w:t>The protection of cultural property in armed conflict</w:t>
      </w:r>
      <w:r w:rsidRPr="000F3293">
        <w:rPr>
          <w:lang w:val="en-US"/>
        </w:rPr>
        <w:t>. Cambridge: Cambridge University Press.</w:t>
      </w:r>
    </w:p>
    <w:p w14:paraId="7923DA30" w14:textId="77777777" w:rsidR="008D6D7C" w:rsidRPr="000F3293" w:rsidRDefault="008D6D7C" w:rsidP="00417A98">
      <w:pPr>
        <w:pStyle w:val="Web"/>
        <w:spacing w:line="360" w:lineRule="auto"/>
        <w:ind w:left="360"/>
        <w:jc w:val="both"/>
        <w:rPr>
          <w:lang w:val="en-US"/>
        </w:rPr>
      </w:pPr>
      <w:r w:rsidRPr="000F3293">
        <w:rPr>
          <w:lang w:val="en-US"/>
        </w:rPr>
        <w:t xml:space="preserve">Prott, L. V., &amp; O’Keefe, P. J. (1989). </w:t>
      </w:r>
      <w:r w:rsidRPr="000F3293">
        <w:rPr>
          <w:rStyle w:val="a5"/>
          <w:lang w:val="en-US"/>
        </w:rPr>
        <w:t>Law and the Cultural Heritage, Vol. 1: Discovery and Excavation</w:t>
      </w:r>
      <w:r w:rsidRPr="000F3293">
        <w:rPr>
          <w:lang w:val="en-US"/>
        </w:rPr>
        <w:t xml:space="preserve">. Abingdon: Professional Books, </w:t>
      </w:r>
      <w:r w:rsidRPr="000F3293">
        <w:t>σ</w:t>
      </w:r>
      <w:r w:rsidRPr="000F3293">
        <w:rPr>
          <w:lang w:val="en-US"/>
        </w:rPr>
        <w:t>. 112.</w:t>
      </w:r>
    </w:p>
    <w:p w14:paraId="6F7654F4" w14:textId="77777777" w:rsidR="008D6D7C" w:rsidRPr="000F3293" w:rsidRDefault="008D6D7C" w:rsidP="00417A98">
      <w:pPr>
        <w:pStyle w:val="Web"/>
        <w:spacing w:line="360" w:lineRule="auto"/>
        <w:ind w:left="360"/>
        <w:jc w:val="both"/>
        <w:rPr>
          <w:lang w:val="en-US"/>
        </w:rPr>
      </w:pPr>
      <w:r w:rsidRPr="000F3293">
        <w:rPr>
          <w:lang w:val="en-US"/>
        </w:rPr>
        <w:t xml:space="preserve">Rentschler, R., &amp; Hede, A. (2007). </w:t>
      </w:r>
      <w:r w:rsidRPr="000F3293">
        <w:rPr>
          <w:rStyle w:val="a5"/>
          <w:lang w:val="en-US"/>
        </w:rPr>
        <w:t>Museum marketing: Competing in the global marketplace</w:t>
      </w:r>
      <w:r w:rsidRPr="000F3293">
        <w:rPr>
          <w:lang w:val="en-US"/>
        </w:rPr>
        <w:t>. London: Routledge.</w:t>
      </w:r>
    </w:p>
    <w:p w14:paraId="29A5F5AD" w14:textId="77777777" w:rsidR="008D6D7C" w:rsidRPr="000F3293" w:rsidRDefault="008D6D7C" w:rsidP="00417A98">
      <w:pPr>
        <w:pStyle w:val="Web"/>
        <w:spacing w:line="360" w:lineRule="auto"/>
        <w:ind w:left="360"/>
        <w:jc w:val="both"/>
        <w:rPr>
          <w:lang w:val="en-US"/>
        </w:rPr>
      </w:pPr>
      <w:r w:rsidRPr="000F3293">
        <w:rPr>
          <w:lang w:val="en-US"/>
        </w:rPr>
        <w:t xml:space="preserve">Roehrenbeck, C. A. (2010). Repatriation of cultural property – Who owns the past? An introduction to approaches and selected statutory instruments. </w:t>
      </w:r>
      <w:r w:rsidRPr="000F3293">
        <w:rPr>
          <w:rStyle w:val="a5"/>
          <w:lang w:val="en-US"/>
        </w:rPr>
        <w:t>International Journal of Legal Information, 38</w:t>
      </w:r>
      <w:r w:rsidRPr="000F3293">
        <w:rPr>
          <w:lang w:val="en-US"/>
        </w:rPr>
        <w:t>(2), 185–196</w:t>
      </w:r>
    </w:p>
    <w:p w14:paraId="5ECEAA03" w14:textId="77777777" w:rsidR="008D6D7C" w:rsidRPr="000F3293" w:rsidRDefault="008D6D7C" w:rsidP="00417A98">
      <w:pPr>
        <w:pStyle w:val="Web"/>
        <w:spacing w:line="360" w:lineRule="auto"/>
        <w:ind w:left="360"/>
        <w:jc w:val="both"/>
        <w:rPr>
          <w:lang w:val="en-US"/>
        </w:rPr>
      </w:pPr>
      <w:r w:rsidRPr="000F3293">
        <w:rPr>
          <w:lang w:val="en-US"/>
        </w:rPr>
        <w:t xml:space="preserve">Russo, A., &amp; Peacock, D. (2009). Great expectations: Sustaining digital strategy in museums. </w:t>
      </w:r>
      <w:r w:rsidRPr="000F3293">
        <w:rPr>
          <w:rStyle w:val="a5"/>
          <w:lang w:val="en-US"/>
        </w:rPr>
        <w:t>Museum Management and Curatorship, 24</w:t>
      </w:r>
      <w:r w:rsidRPr="000F3293">
        <w:rPr>
          <w:lang w:val="en-US"/>
        </w:rPr>
        <w:t>(2), 97–116.</w:t>
      </w:r>
    </w:p>
    <w:p w14:paraId="395D2FD3" w14:textId="77777777" w:rsidR="008D6D7C" w:rsidRPr="000F3293" w:rsidRDefault="008D6D7C" w:rsidP="00417A98">
      <w:pPr>
        <w:pStyle w:val="Web"/>
        <w:spacing w:line="360" w:lineRule="auto"/>
        <w:ind w:left="360"/>
        <w:jc w:val="both"/>
        <w:rPr>
          <w:lang w:val="en-US"/>
        </w:rPr>
      </w:pPr>
      <w:r w:rsidRPr="000F3293">
        <w:rPr>
          <w:lang w:val="en-US"/>
        </w:rPr>
        <w:t xml:space="preserve">Savoy, B. (2022). </w:t>
      </w:r>
      <w:r w:rsidRPr="000F3293">
        <w:rPr>
          <w:rStyle w:val="a5"/>
          <w:lang w:val="en-US"/>
        </w:rPr>
        <w:t>Africa’s struggle for its art: History of a postcolonial defeat</w:t>
      </w:r>
      <w:r w:rsidRPr="000F3293">
        <w:rPr>
          <w:lang w:val="en-US"/>
        </w:rPr>
        <w:t>. Oxford: Oxford University Press.</w:t>
      </w:r>
    </w:p>
    <w:p w14:paraId="4700795C" w14:textId="77777777" w:rsidR="008D6D7C" w:rsidRPr="000F3293" w:rsidRDefault="008D6D7C" w:rsidP="00417A98">
      <w:pPr>
        <w:pStyle w:val="Web"/>
        <w:spacing w:line="360" w:lineRule="auto"/>
        <w:ind w:left="360"/>
        <w:jc w:val="both"/>
        <w:rPr>
          <w:lang w:val="en-US"/>
        </w:rPr>
      </w:pPr>
      <w:r w:rsidRPr="000F3293">
        <w:rPr>
          <w:lang w:val="en-US"/>
        </w:rPr>
        <w:t xml:space="preserve">Simon, N. (2010). </w:t>
      </w:r>
      <w:r w:rsidRPr="000F3293">
        <w:rPr>
          <w:rStyle w:val="a5"/>
          <w:lang w:val="en-US"/>
        </w:rPr>
        <w:t>The participatory museum</w:t>
      </w:r>
      <w:r w:rsidRPr="000F3293">
        <w:rPr>
          <w:lang w:val="en-US"/>
        </w:rPr>
        <w:t>. Santa Cruz, CA: Museum 2.0.</w:t>
      </w:r>
    </w:p>
    <w:p w14:paraId="783C91BD" w14:textId="77777777" w:rsidR="008D6D7C" w:rsidRPr="000F3293" w:rsidRDefault="008D6D7C" w:rsidP="00417A98">
      <w:pPr>
        <w:pStyle w:val="Web"/>
        <w:spacing w:line="360" w:lineRule="auto"/>
        <w:ind w:left="360"/>
        <w:jc w:val="both"/>
        <w:rPr>
          <w:lang w:val="en-US"/>
        </w:rPr>
      </w:pPr>
      <w:proofErr w:type="spellStart"/>
      <w:r w:rsidRPr="000F3293">
        <w:rPr>
          <w:lang w:val="en-US"/>
        </w:rPr>
        <w:t>Soirila</w:t>
      </w:r>
      <w:proofErr w:type="spellEnd"/>
      <w:r w:rsidRPr="000F3293">
        <w:rPr>
          <w:lang w:val="en-US"/>
        </w:rPr>
        <w:t xml:space="preserve">, P. (2022). Indeterminacy in the cultural property restitution debate. </w:t>
      </w:r>
      <w:r w:rsidRPr="000F3293">
        <w:rPr>
          <w:rStyle w:val="a5"/>
          <w:lang w:val="en-US"/>
        </w:rPr>
        <w:t>International Journal of Cultural Policy, 28</w:t>
      </w:r>
      <w:r w:rsidRPr="000F3293">
        <w:rPr>
          <w:lang w:val="en-US"/>
        </w:rPr>
        <w:t>(1), 1–16. https://doi.org/10.1080/10286632.2021.1908275</w:t>
      </w:r>
    </w:p>
    <w:p w14:paraId="46AFFF43" w14:textId="77777777" w:rsidR="008D6D7C" w:rsidRPr="000F3293" w:rsidRDefault="008D6D7C" w:rsidP="00417A98">
      <w:pPr>
        <w:spacing w:after="0" w:line="360" w:lineRule="auto"/>
        <w:ind w:left="360"/>
        <w:jc w:val="both"/>
        <w:rPr>
          <w:rFonts w:eastAsia="Times New Roman" w:cs="Times New Roman"/>
          <w:kern w:val="0"/>
          <w:szCs w:val="24"/>
          <w:lang w:val="en-US"/>
          <w14:ligatures w14:val="none"/>
        </w:rPr>
      </w:pPr>
      <w:r w:rsidRPr="000F3293">
        <w:rPr>
          <w:rFonts w:cs="Times New Roman"/>
          <w:lang w:val="en-US"/>
        </w:rPr>
        <w:lastRenderedPageBreak/>
        <w:t xml:space="preserve">Stahn, C. (2022). Beyond “To return or not to return”: The Benin Bronzes as a game changer? </w:t>
      </w:r>
      <w:r w:rsidRPr="000F3293">
        <w:rPr>
          <w:rStyle w:val="a5"/>
          <w:rFonts w:cs="Times New Roman"/>
          <w:lang w:val="en-US"/>
        </w:rPr>
        <w:t>Santander Art and Culture Law Review, 8</w:t>
      </w:r>
      <w:r w:rsidRPr="000F3293">
        <w:rPr>
          <w:rFonts w:cs="Times New Roman"/>
          <w:lang w:val="en-US"/>
        </w:rPr>
        <w:t xml:space="preserve">(2), 29–68. </w:t>
      </w:r>
      <w:hyperlink r:id="rId56" w:history="1">
        <w:r w:rsidRPr="000F3293">
          <w:rPr>
            <w:rStyle w:val="-"/>
            <w:rFonts w:cs="Times New Roman"/>
            <w:lang w:val="en-US"/>
          </w:rPr>
          <w:t>https://doi.org/10.4467/2450050XSNR.22.012.17025</w:t>
        </w:r>
      </w:hyperlink>
      <w:r w:rsidRPr="000F3293">
        <w:rPr>
          <w:rFonts w:cs="Times New Roman"/>
          <w:lang w:val="en-US"/>
        </w:rPr>
        <w:t xml:space="preserve"> </w:t>
      </w:r>
    </w:p>
    <w:p w14:paraId="68E09410" w14:textId="77777777" w:rsidR="008D6D7C" w:rsidRPr="000F3293" w:rsidRDefault="008D6D7C" w:rsidP="00417A98">
      <w:pPr>
        <w:pStyle w:val="Web"/>
        <w:spacing w:line="360" w:lineRule="auto"/>
        <w:ind w:left="360"/>
        <w:jc w:val="both"/>
        <w:rPr>
          <w:lang w:val="en-US"/>
        </w:rPr>
      </w:pPr>
      <w:proofErr w:type="spellStart"/>
      <w:r w:rsidRPr="000F3293">
        <w:rPr>
          <w:lang w:val="en-US"/>
        </w:rPr>
        <w:t>Stamatoudi</w:t>
      </w:r>
      <w:proofErr w:type="spellEnd"/>
      <w:r w:rsidRPr="000F3293">
        <w:rPr>
          <w:lang w:val="en-US"/>
        </w:rPr>
        <w:t xml:space="preserve">, I. (2022). The Parthenon Marbles case: Background and the arguments of Greece and the UK. </w:t>
      </w:r>
      <w:r w:rsidRPr="000F3293">
        <w:rPr>
          <w:i/>
          <w:iCs/>
          <w:lang w:val="en-US"/>
        </w:rPr>
        <w:t>Cardozo Arts &amp; Entertainment Law Journal, 41</w:t>
      </w:r>
      <w:r w:rsidRPr="000F3293">
        <w:rPr>
          <w:lang w:val="en-US"/>
        </w:rPr>
        <w:t>(SP), 105–123.</w:t>
      </w:r>
    </w:p>
    <w:p w14:paraId="0A9D2B24" w14:textId="77777777" w:rsidR="008D6D7C" w:rsidRPr="000F3293" w:rsidRDefault="008D6D7C" w:rsidP="00417A98">
      <w:pPr>
        <w:pStyle w:val="Web"/>
        <w:spacing w:line="360" w:lineRule="auto"/>
        <w:ind w:left="360"/>
        <w:jc w:val="both"/>
        <w:rPr>
          <w:lang w:val="en-US"/>
        </w:rPr>
      </w:pPr>
      <w:proofErr w:type="spellStart"/>
      <w:r w:rsidRPr="000F3293">
        <w:rPr>
          <w:lang w:val="en-US"/>
        </w:rPr>
        <w:t>Stamatoudi</w:t>
      </w:r>
      <w:proofErr w:type="spellEnd"/>
      <w:r w:rsidRPr="000F3293">
        <w:rPr>
          <w:lang w:val="en-US"/>
        </w:rPr>
        <w:t xml:space="preserve">, I. (2024). </w:t>
      </w:r>
      <w:r w:rsidRPr="000F3293">
        <w:rPr>
          <w:rStyle w:val="a5"/>
          <w:lang w:val="en-US"/>
        </w:rPr>
        <w:t>The Parthenon Marbles case: Background and the arguments of Greece and the UK</w:t>
      </w:r>
      <w:r w:rsidRPr="000F3293">
        <w:rPr>
          <w:lang w:val="en-US"/>
        </w:rPr>
        <w:t>. Nicosia: University of Nicosia.</w:t>
      </w:r>
    </w:p>
    <w:p w14:paraId="4A8CCB2F" w14:textId="77777777" w:rsidR="008D6D7C" w:rsidRPr="000F3293" w:rsidRDefault="008D6D7C" w:rsidP="00417A98">
      <w:pPr>
        <w:pStyle w:val="Web"/>
        <w:spacing w:line="360" w:lineRule="auto"/>
        <w:ind w:left="360"/>
        <w:jc w:val="both"/>
        <w:rPr>
          <w:lang w:val="en-US"/>
        </w:rPr>
      </w:pPr>
      <w:proofErr w:type="spellStart"/>
      <w:r w:rsidRPr="000F3293">
        <w:rPr>
          <w:lang w:val="en-US"/>
        </w:rPr>
        <w:t>Stamatoudi</w:t>
      </w:r>
      <w:proofErr w:type="spellEnd"/>
      <w:r w:rsidRPr="000F3293">
        <w:rPr>
          <w:lang w:val="en-US"/>
        </w:rPr>
        <w:t xml:space="preserve">, I. A. (2011). </w:t>
      </w:r>
      <w:r w:rsidRPr="000F3293">
        <w:rPr>
          <w:rStyle w:val="a5"/>
          <w:lang w:val="en-US"/>
        </w:rPr>
        <w:t>Cultural Property Law and Restitution: A Commentary to International Conventions and European Union Law</w:t>
      </w:r>
      <w:r w:rsidRPr="000F3293">
        <w:rPr>
          <w:lang w:val="en-US"/>
        </w:rPr>
        <w:t>. Edward Elgar.</w:t>
      </w:r>
    </w:p>
    <w:p w14:paraId="165BB261" w14:textId="77777777" w:rsidR="008D6D7C" w:rsidRPr="000F3293" w:rsidRDefault="008D6D7C" w:rsidP="00417A98">
      <w:pPr>
        <w:pStyle w:val="Web"/>
        <w:spacing w:line="360" w:lineRule="auto"/>
        <w:ind w:left="360"/>
        <w:jc w:val="both"/>
        <w:rPr>
          <w:lang w:val="en-US"/>
        </w:rPr>
      </w:pPr>
      <w:r w:rsidRPr="000F3293">
        <w:rPr>
          <w:lang w:val="en-US"/>
        </w:rPr>
        <w:t xml:space="preserve">Sullivan, A. M. (2016). Cultural heritage &amp; new media: A future for the past. </w:t>
      </w:r>
      <w:r w:rsidRPr="000F3293">
        <w:rPr>
          <w:rStyle w:val="a5"/>
          <w:lang w:val="en-US"/>
        </w:rPr>
        <w:t>John Marshall Review of Intellectual Property Law, 15</w:t>
      </w:r>
      <w:r w:rsidRPr="000F3293">
        <w:rPr>
          <w:lang w:val="en-US"/>
        </w:rPr>
        <w:t>(3), 604–635.</w:t>
      </w:r>
    </w:p>
    <w:p w14:paraId="56D6E0B8" w14:textId="77777777" w:rsidR="008D6D7C" w:rsidRPr="000F3293" w:rsidRDefault="008D6D7C" w:rsidP="00D441B6">
      <w:pPr>
        <w:pStyle w:val="Web"/>
        <w:spacing w:line="360" w:lineRule="auto"/>
        <w:ind w:left="360"/>
        <w:jc w:val="both"/>
        <w:rPr>
          <w:lang w:val="en-US"/>
        </w:rPr>
      </w:pPr>
      <w:r w:rsidRPr="000F3293">
        <w:rPr>
          <w:lang w:val="en-US"/>
        </w:rPr>
        <w:t xml:space="preserve">The Best in Heritage. (n.d.). </w:t>
      </w:r>
      <w:r w:rsidRPr="000F3293">
        <w:rPr>
          <w:i/>
          <w:iCs/>
          <w:lang w:val="en-US"/>
        </w:rPr>
        <w:t>TBIH2023 | Horniman Museum and Gardens</w:t>
      </w:r>
      <w:r w:rsidRPr="000F3293">
        <w:rPr>
          <w:lang w:val="en-US"/>
        </w:rPr>
        <w:t xml:space="preserve"> [Video]. YouTube. </w:t>
      </w:r>
      <w:hyperlink r:id="rId57" w:tgtFrame="_new" w:history="1">
        <w:r w:rsidRPr="000F3293">
          <w:rPr>
            <w:rStyle w:val="-"/>
            <w:lang w:val="en-US"/>
          </w:rPr>
          <w:t>https://www.youtube.com/watch?v=tLgZbdNg8Wo</w:t>
        </w:r>
      </w:hyperlink>
      <w:r w:rsidRPr="000F3293">
        <w:rPr>
          <w:lang w:val="en-US"/>
        </w:rPr>
        <w:t xml:space="preserve"> </w:t>
      </w:r>
    </w:p>
    <w:p w14:paraId="0C77D680" w14:textId="77777777" w:rsidR="008D6D7C" w:rsidRPr="000F3293" w:rsidRDefault="008D6D7C" w:rsidP="00D441B6">
      <w:pPr>
        <w:pStyle w:val="Web"/>
        <w:spacing w:line="360" w:lineRule="auto"/>
        <w:ind w:left="360"/>
        <w:jc w:val="both"/>
        <w:rPr>
          <w:lang w:val="en-US"/>
        </w:rPr>
      </w:pPr>
      <w:r w:rsidRPr="000F3293">
        <w:rPr>
          <w:lang w:val="en-US"/>
        </w:rPr>
        <w:t xml:space="preserve">UK Parliament. (2025a, July 1). </w:t>
      </w:r>
      <w:r w:rsidRPr="000F3293">
        <w:rPr>
          <w:i/>
          <w:iCs/>
          <w:lang w:val="en-US"/>
        </w:rPr>
        <w:t>Parthenon Sculptures</w:t>
      </w:r>
      <w:r w:rsidRPr="000F3293">
        <w:rPr>
          <w:lang w:val="en-US"/>
        </w:rPr>
        <w:t xml:space="preserve"> [Written question 64203]. </w:t>
      </w:r>
      <w:r w:rsidRPr="000F3293">
        <w:rPr>
          <w:i/>
          <w:iCs/>
          <w:lang w:val="en-US"/>
        </w:rPr>
        <w:t>Written questions, answers and statements</w:t>
      </w:r>
      <w:r w:rsidRPr="000F3293">
        <w:rPr>
          <w:lang w:val="en-US"/>
        </w:rPr>
        <w:t xml:space="preserve">. </w:t>
      </w:r>
      <w:hyperlink r:id="rId58" w:tgtFrame="_new" w:history="1">
        <w:r w:rsidRPr="000F3293">
          <w:rPr>
            <w:rStyle w:val="-"/>
            <w:lang w:val="en-US"/>
          </w:rPr>
          <w:t>https://questions-statements.parliament.uk/written-questions/detail/2025-07-01/64203</w:t>
        </w:r>
      </w:hyperlink>
      <w:r w:rsidRPr="000F3293">
        <w:rPr>
          <w:lang w:val="en-US"/>
        </w:rPr>
        <w:t xml:space="preserve"> </w:t>
      </w:r>
    </w:p>
    <w:p w14:paraId="6C6CB64D" w14:textId="77777777" w:rsidR="008D6D7C" w:rsidRPr="000F3293" w:rsidRDefault="008D6D7C" w:rsidP="00D441B6">
      <w:pPr>
        <w:pStyle w:val="Web"/>
        <w:spacing w:line="360" w:lineRule="auto"/>
        <w:ind w:left="360"/>
        <w:jc w:val="both"/>
        <w:rPr>
          <w:lang w:val="it-IT"/>
        </w:rPr>
      </w:pPr>
      <w:r w:rsidRPr="000F3293">
        <w:rPr>
          <w:lang w:val="en-US"/>
        </w:rPr>
        <w:t xml:space="preserve">UK Parliament. (2025b, July 16). </w:t>
      </w:r>
      <w:r w:rsidRPr="000F3293">
        <w:rPr>
          <w:i/>
          <w:iCs/>
          <w:lang w:val="en-US"/>
        </w:rPr>
        <w:t>Parthenon Sculptures: Return</w:t>
      </w:r>
      <w:r w:rsidRPr="000F3293">
        <w:rPr>
          <w:lang w:val="en-US"/>
        </w:rPr>
        <w:t xml:space="preserve">. </w:t>
      </w:r>
      <w:r w:rsidRPr="000F3293">
        <w:rPr>
          <w:i/>
          <w:iCs/>
          <w:lang w:val="it-IT"/>
        </w:rPr>
        <w:t>Hansard</w:t>
      </w:r>
      <w:r w:rsidRPr="000F3293">
        <w:rPr>
          <w:lang w:val="it-IT"/>
        </w:rPr>
        <w:t xml:space="preserve">. </w:t>
      </w:r>
      <w:hyperlink r:id="rId59" w:tgtFrame="_new" w:history="1">
        <w:r w:rsidRPr="000F3293">
          <w:rPr>
            <w:rStyle w:val="-"/>
            <w:lang w:val="it-IT"/>
          </w:rPr>
          <w:t>https://hansard.parliament.uk/lords/2025-07-16/debates/A88B9DD1-CA29-4A42-AA8B-0CE58FB33821/ParthenonSculpturesReturn</w:t>
        </w:r>
      </w:hyperlink>
      <w:r w:rsidRPr="000F3293">
        <w:rPr>
          <w:lang w:val="it-IT"/>
        </w:rPr>
        <w:t xml:space="preserve"> </w:t>
      </w:r>
    </w:p>
    <w:p w14:paraId="219AA4F5" w14:textId="77777777" w:rsidR="008D6D7C" w:rsidRPr="000F3293" w:rsidRDefault="008D6D7C" w:rsidP="00417A98">
      <w:pPr>
        <w:spacing w:line="360" w:lineRule="auto"/>
        <w:ind w:left="360"/>
        <w:jc w:val="both"/>
        <w:rPr>
          <w:rFonts w:cs="Times New Roman"/>
          <w:color w:val="212529"/>
          <w:shd w:val="clear" w:color="auto" w:fill="FFFFFF"/>
        </w:rPr>
      </w:pPr>
      <w:r w:rsidRPr="000F3293">
        <w:rPr>
          <w:rFonts w:cs="Times New Roman"/>
          <w:lang w:val="en-US"/>
        </w:rPr>
        <w:t xml:space="preserve">UNESCO. (2005). </w:t>
      </w:r>
      <w:r w:rsidRPr="000F3293">
        <w:rPr>
          <w:rStyle w:val="a5"/>
          <w:rFonts w:cs="Times New Roman"/>
          <w:lang w:val="en-US"/>
        </w:rPr>
        <w:t>Convention on the protection and promotion of the diversity of cultural expressions</w:t>
      </w:r>
      <w:r w:rsidRPr="000F3293">
        <w:rPr>
          <w:rFonts w:cs="Times New Roman"/>
          <w:lang w:val="en-US"/>
        </w:rPr>
        <w:t>. Paris</w:t>
      </w:r>
      <w:r w:rsidRPr="000F3293">
        <w:rPr>
          <w:rFonts w:cs="Times New Roman"/>
        </w:rPr>
        <w:t xml:space="preserve">: </w:t>
      </w:r>
      <w:r w:rsidRPr="000F3293">
        <w:rPr>
          <w:rFonts w:cs="Times New Roman"/>
          <w:lang w:val="en-US"/>
        </w:rPr>
        <w:t>UNESCO</w:t>
      </w:r>
      <w:r w:rsidRPr="000F3293">
        <w:rPr>
          <w:rFonts w:cs="Times New Roman"/>
        </w:rPr>
        <w:t xml:space="preserve">. </w:t>
      </w:r>
      <w:r w:rsidRPr="000F3293">
        <w:t xml:space="preserve">Ανακτήθηκε 03 Μαρτίου 2026 από </w:t>
      </w:r>
      <w:hyperlink r:id="rId60" w:history="1">
        <w:r w:rsidRPr="000F3293">
          <w:rPr>
            <w:rStyle w:val="-"/>
            <w:rFonts w:cs="Times New Roman"/>
            <w:lang w:val="en-US"/>
          </w:rPr>
          <w:t>https</w:t>
        </w:r>
        <w:r w:rsidRPr="000F3293">
          <w:rPr>
            <w:rStyle w:val="-"/>
            <w:rFonts w:cs="Times New Roman"/>
          </w:rPr>
          <w:t>://</w:t>
        </w:r>
        <w:r w:rsidRPr="000F3293">
          <w:rPr>
            <w:rStyle w:val="-"/>
            <w:rFonts w:cs="Times New Roman"/>
            <w:lang w:val="en-US"/>
          </w:rPr>
          <w:t>www</w:t>
        </w:r>
        <w:r w:rsidRPr="000F3293">
          <w:rPr>
            <w:rStyle w:val="-"/>
            <w:rFonts w:cs="Times New Roman"/>
          </w:rPr>
          <w:t>.</w:t>
        </w:r>
        <w:proofErr w:type="spellStart"/>
        <w:r w:rsidRPr="000F3293">
          <w:rPr>
            <w:rStyle w:val="-"/>
            <w:rFonts w:cs="Times New Roman"/>
            <w:lang w:val="en-US"/>
          </w:rPr>
          <w:t>unesco</w:t>
        </w:r>
        <w:proofErr w:type="spellEnd"/>
        <w:r w:rsidRPr="000F3293">
          <w:rPr>
            <w:rStyle w:val="-"/>
            <w:rFonts w:cs="Times New Roman"/>
          </w:rPr>
          <w:t>.</w:t>
        </w:r>
        <w:r w:rsidRPr="000F3293">
          <w:rPr>
            <w:rStyle w:val="-"/>
            <w:rFonts w:cs="Times New Roman"/>
            <w:lang w:val="en-US"/>
          </w:rPr>
          <w:t>org</w:t>
        </w:r>
        <w:r w:rsidRPr="000F3293">
          <w:rPr>
            <w:rStyle w:val="-"/>
            <w:rFonts w:cs="Times New Roman"/>
          </w:rPr>
          <w:t>/</w:t>
        </w:r>
        <w:r w:rsidRPr="000F3293">
          <w:rPr>
            <w:rStyle w:val="-"/>
            <w:rFonts w:cs="Times New Roman"/>
            <w:lang w:val="en-US"/>
          </w:rPr>
          <w:t>creativity</w:t>
        </w:r>
        <w:r w:rsidRPr="000F3293">
          <w:rPr>
            <w:rStyle w:val="-"/>
            <w:rFonts w:cs="Times New Roman"/>
          </w:rPr>
          <w:t>/</w:t>
        </w:r>
        <w:proofErr w:type="spellStart"/>
        <w:r w:rsidRPr="000F3293">
          <w:rPr>
            <w:rStyle w:val="-"/>
            <w:rFonts w:cs="Times New Roman"/>
            <w:lang w:val="en-US"/>
          </w:rPr>
          <w:t>en</w:t>
        </w:r>
        <w:proofErr w:type="spellEnd"/>
        <w:r w:rsidRPr="000F3293">
          <w:rPr>
            <w:rStyle w:val="-"/>
            <w:rFonts w:cs="Times New Roman"/>
          </w:rPr>
          <w:t>/2005-</w:t>
        </w:r>
        <w:r w:rsidRPr="000F3293">
          <w:rPr>
            <w:rStyle w:val="-"/>
            <w:rFonts w:cs="Times New Roman"/>
            <w:lang w:val="en-US"/>
          </w:rPr>
          <w:t>convention</w:t>
        </w:r>
      </w:hyperlink>
      <w:r w:rsidRPr="000F3293">
        <w:rPr>
          <w:rFonts w:cs="Times New Roman"/>
        </w:rPr>
        <w:t xml:space="preserve"> </w:t>
      </w:r>
    </w:p>
    <w:p w14:paraId="44B6FD95" w14:textId="77777777" w:rsidR="008D6D7C" w:rsidRPr="000F3293" w:rsidRDefault="008D6D7C" w:rsidP="00417A98">
      <w:pPr>
        <w:spacing w:line="360" w:lineRule="auto"/>
        <w:ind w:left="360"/>
        <w:jc w:val="both"/>
        <w:rPr>
          <w:rFonts w:cs="Times New Roman"/>
          <w:lang w:val="en-US"/>
        </w:rPr>
      </w:pPr>
      <w:r w:rsidRPr="000F3293">
        <w:rPr>
          <w:rFonts w:cs="Times New Roman"/>
          <w:lang w:val="en-US"/>
        </w:rPr>
        <w:lastRenderedPageBreak/>
        <w:t xml:space="preserve">UNESCO. (2005). </w:t>
      </w:r>
      <w:r w:rsidRPr="000F3293">
        <w:rPr>
          <w:rStyle w:val="a5"/>
          <w:rFonts w:cs="Times New Roman"/>
          <w:lang w:val="en-US"/>
        </w:rPr>
        <w:t>Operational guidelines for the implementation of the World Heritage Convention</w:t>
      </w:r>
      <w:r w:rsidRPr="000F3293">
        <w:rPr>
          <w:rFonts w:cs="Times New Roman"/>
          <w:lang w:val="en-US"/>
        </w:rPr>
        <w:t xml:space="preserve">. Paris: UNESCO World Heritage Centre. </w:t>
      </w:r>
      <w:r w:rsidRPr="000F3293">
        <w:t>Ανακτήθηκε</w:t>
      </w:r>
      <w:r w:rsidRPr="000F3293">
        <w:rPr>
          <w:lang w:val="en-US"/>
        </w:rPr>
        <w:t xml:space="preserve"> 03 </w:t>
      </w:r>
      <w:r w:rsidRPr="000F3293">
        <w:t>Μαρτίου</w:t>
      </w:r>
      <w:r w:rsidRPr="000F3293">
        <w:rPr>
          <w:lang w:val="en-US"/>
        </w:rPr>
        <w:t xml:space="preserve"> 2026 </w:t>
      </w:r>
      <w:r w:rsidRPr="000F3293">
        <w:t>από</w:t>
      </w:r>
      <w:r w:rsidRPr="000F3293">
        <w:rPr>
          <w:lang w:val="en-US"/>
        </w:rPr>
        <w:t xml:space="preserve"> </w:t>
      </w:r>
      <w:hyperlink r:id="rId61" w:history="1">
        <w:r w:rsidRPr="000F3293">
          <w:rPr>
            <w:rStyle w:val="-"/>
            <w:rFonts w:cs="Times New Roman"/>
            <w:lang w:val="en-US"/>
          </w:rPr>
          <w:t>https://whc.unesco.org/archive/opguide05-en.pdf</w:t>
        </w:r>
      </w:hyperlink>
      <w:r w:rsidRPr="000F3293">
        <w:rPr>
          <w:rFonts w:cs="Times New Roman"/>
          <w:lang w:val="en-US"/>
        </w:rPr>
        <w:t xml:space="preserve"> </w:t>
      </w:r>
    </w:p>
    <w:p w14:paraId="3B2B07E8" w14:textId="77777777" w:rsidR="008D6D7C" w:rsidRPr="000F3293" w:rsidRDefault="008D6D7C" w:rsidP="00D441B6">
      <w:pPr>
        <w:pStyle w:val="Web"/>
        <w:spacing w:line="360" w:lineRule="auto"/>
        <w:ind w:left="360"/>
        <w:jc w:val="both"/>
      </w:pPr>
      <w:r w:rsidRPr="000F3293">
        <w:rPr>
          <w:lang w:val="en-US"/>
        </w:rPr>
        <w:t xml:space="preserve">UNESCO. (2024, May 29). </w:t>
      </w:r>
      <w:r w:rsidRPr="000F3293">
        <w:rPr>
          <w:i/>
          <w:iCs/>
          <w:lang w:val="en-US"/>
        </w:rPr>
        <w:t>Report of the Secretariat on its activities</w:t>
      </w:r>
      <w:r w:rsidRPr="000F3293">
        <w:rPr>
          <w:lang w:val="en-US"/>
        </w:rPr>
        <w:t xml:space="preserve">. </w:t>
      </w:r>
      <w:r w:rsidRPr="000F3293">
        <w:t xml:space="preserve">Ανακτήθηκε 03 Μαρτίου 2026 από </w:t>
      </w:r>
      <w:hyperlink r:id="rId62" w:history="1">
        <w:r w:rsidRPr="000F3293">
          <w:rPr>
            <w:rStyle w:val="-"/>
            <w:lang w:val="en-US"/>
          </w:rPr>
          <w:t>https</w:t>
        </w:r>
        <w:r w:rsidRPr="000F3293">
          <w:rPr>
            <w:rStyle w:val="-"/>
          </w:rPr>
          <w:t>://</w:t>
        </w:r>
        <w:proofErr w:type="spellStart"/>
        <w:r w:rsidRPr="000F3293">
          <w:rPr>
            <w:rStyle w:val="-"/>
            <w:lang w:val="en-US"/>
          </w:rPr>
          <w:t>unesdoc</w:t>
        </w:r>
        <w:proofErr w:type="spellEnd"/>
        <w:r w:rsidRPr="000F3293">
          <w:rPr>
            <w:rStyle w:val="-"/>
          </w:rPr>
          <w:t>.</w:t>
        </w:r>
        <w:proofErr w:type="spellStart"/>
        <w:r w:rsidRPr="000F3293">
          <w:rPr>
            <w:rStyle w:val="-"/>
            <w:lang w:val="en-US"/>
          </w:rPr>
          <w:t>unesco</w:t>
        </w:r>
        <w:proofErr w:type="spellEnd"/>
        <w:r w:rsidRPr="000F3293">
          <w:rPr>
            <w:rStyle w:val="-"/>
          </w:rPr>
          <w:t>.</w:t>
        </w:r>
        <w:r w:rsidRPr="000F3293">
          <w:rPr>
            <w:rStyle w:val="-"/>
            <w:lang w:val="en-US"/>
          </w:rPr>
          <w:t>org</w:t>
        </w:r>
        <w:r w:rsidRPr="000F3293">
          <w:rPr>
            <w:rStyle w:val="-"/>
          </w:rPr>
          <w:t>/</w:t>
        </w:r>
        <w:r w:rsidRPr="000F3293">
          <w:rPr>
            <w:rStyle w:val="-"/>
            <w:lang w:val="en-US"/>
          </w:rPr>
          <w:t>ark</w:t>
        </w:r>
        <w:r w:rsidRPr="000F3293">
          <w:rPr>
            <w:rStyle w:val="-"/>
          </w:rPr>
          <w:t>:/48223/</w:t>
        </w:r>
        <w:r w:rsidRPr="000F3293">
          <w:rPr>
            <w:rStyle w:val="-"/>
            <w:lang w:val="en-US"/>
          </w:rPr>
          <w:t>pf</w:t>
        </w:r>
        <w:r w:rsidRPr="000F3293">
          <w:rPr>
            <w:rStyle w:val="-"/>
          </w:rPr>
          <w:t>0000389873</w:t>
        </w:r>
      </w:hyperlink>
      <w:r w:rsidRPr="000F3293">
        <w:t xml:space="preserve"> </w:t>
      </w:r>
    </w:p>
    <w:p w14:paraId="7CDB33C2" w14:textId="77777777" w:rsidR="008D6D7C" w:rsidRPr="000F3293" w:rsidRDefault="008D6D7C" w:rsidP="00417A98">
      <w:pPr>
        <w:spacing w:after="0" w:line="360" w:lineRule="auto"/>
        <w:ind w:left="360"/>
        <w:jc w:val="both"/>
        <w:rPr>
          <w:rFonts w:cs="Times New Roman"/>
          <w:lang w:val="en-US"/>
        </w:rPr>
      </w:pPr>
      <w:r w:rsidRPr="000F3293">
        <w:rPr>
          <w:rFonts w:cs="Times New Roman"/>
          <w:lang w:val="en-US"/>
        </w:rPr>
        <w:t>UNIDROIT</w:t>
      </w:r>
      <w:r w:rsidRPr="000F3293">
        <w:rPr>
          <w:rFonts w:cs="Times New Roman"/>
        </w:rPr>
        <w:t xml:space="preserve">. </w:t>
      </w:r>
      <w:r w:rsidRPr="000F3293">
        <w:rPr>
          <w:rFonts w:cs="Times New Roman"/>
          <w:lang w:val="en-US"/>
        </w:rPr>
        <w:t xml:space="preserve">(1995). </w:t>
      </w:r>
      <w:r w:rsidRPr="000F3293">
        <w:rPr>
          <w:rStyle w:val="a5"/>
          <w:rFonts w:cs="Times New Roman"/>
          <w:lang w:val="en-US"/>
        </w:rPr>
        <w:t>Convention on stolen or illegally exported cultural objects</w:t>
      </w:r>
      <w:r w:rsidRPr="000F3293">
        <w:rPr>
          <w:rFonts w:cs="Times New Roman"/>
          <w:lang w:val="en-US"/>
        </w:rPr>
        <w:t>. Rome: UNIDROIT.</w:t>
      </w:r>
    </w:p>
    <w:p w14:paraId="005D8993" w14:textId="77777777" w:rsidR="008D6D7C" w:rsidRPr="000F3293" w:rsidRDefault="008D6D7C" w:rsidP="00417A98">
      <w:pPr>
        <w:pStyle w:val="Web"/>
        <w:spacing w:line="360" w:lineRule="auto"/>
        <w:ind w:left="360"/>
        <w:jc w:val="both"/>
        <w:rPr>
          <w:lang w:val="en-US"/>
        </w:rPr>
      </w:pPr>
      <w:r w:rsidRPr="000F3293">
        <w:rPr>
          <w:lang w:val="en-US"/>
        </w:rPr>
        <w:t xml:space="preserve">Vrdoljak, A. F. (2006). </w:t>
      </w:r>
      <w:r w:rsidRPr="000F3293">
        <w:rPr>
          <w:rStyle w:val="a5"/>
          <w:lang w:val="en-US"/>
        </w:rPr>
        <w:t>International law, museums and the return of cultural objects</w:t>
      </w:r>
      <w:r w:rsidRPr="000F3293">
        <w:rPr>
          <w:lang w:val="en-US"/>
        </w:rPr>
        <w:t>. Cambridge: Cambridge University Press.</w:t>
      </w:r>
    </w:p>
    <w:p w14:paraId="1F7375B1" w14:textId="77777777" w:rsidR="008D6D7C" w:rsidRPr="000F3293" w:rsidRDefault="008D6D7C" w:rsidP="00417A98">
      <w:pPr>
        <w:pStyle w:val="Web"/>
        <w:spacing w:line="360" w:lineRule="auto"/>
        <w:ind w:left="360"/>
        <w:jc w:val="both"/>
        <w:rPr>
          <w:lang w:val="en-US"/>
        </w:rPr>
      </w:pPr>
      <w:r w:rsidRPr="000F3293">
        <w:rPr>
          <w:lang w:val="en-US"/>
        </w:rPr>
        <w:t xml:space="preserve">Watson, P., &amp; Todeschini, C. (2007). </w:t>
      </w:r>
      <w:r w:rsidRPr="000F3293">
        <w:rPr>
          <w:rStyle w:val="a5"/>
          <w:lang w:val="en-US"/>
        </w:rPr>
        <w:t>The Medici conspiracy: The illicit journey of looted antiquities</w:t>
      </w:r>
      <w:r w:rsidRPr="000F3293">
        <w:rPr>
          <w:lang w:val="en-US"/>
        </w:rPr>
        <w:t>. New York: PublicAffairs.</w:t>
      </w:r>
    </w:p>
    <w:p w14:paraId="2B76BE00" w14:textId="77777777" w:rsidR="008D6D7C" w:rsidRPr="000F3293" w:rsidRDefault="008D6D7C">
      <w:pPr>
        <w:pStyle w:val="Web"/>
        <w:spacing w:line="360" w:lineRule="auto"/>
        <w:ind w:left="360"/>
        <w:jc w:val="both"/>
      </w:pPr>
      <w:r w:rsidRPr="000F3293">
        <w:rPr>
          <w:lang w:val="en-US"/>
        </w:rPr>
        <w:t xml:space="preserve">Yin, R. K. (2018). </w:t>
      </w:r>
      <w:r w:rsidRPr="000F3293">
        <w:rPr>
          <w:rStyle w:val="a5"/>
          <w:lang w:val="en-US"/>
        </w:rPr>
        <w:t>Case study research and applications: Design and methods</w:t>
      </w:r>
      <w:r w:rsidRPr="000F3293">
        <w:rPr>
          <w:lang w:val="en-US"/>
        </w:rPr>
        <w:t xml:space="preserve"> (6th ed.). SAGE</w:t>
      </w:r>
      <w:r w:rsidRPr="000F3293">
        <w:t>.</w:t>
      </w:r>
    </w:p>
    <w:p w14:paraId="0563DECB" w14:textId="77777777" w:rsidR="008D6D7C" w:rsidRPr="000F3293" w:rsidRDefault="008D6D7C" w:rsidP="002436FE">
      <w:pPr>
        <w:pStyle w:val="Web"/>
        <w:spacing w:line="360" w:lineRule="auto"/>
        <w:ind w:left="360"/>
        <w:jc w:val="both"/>
      </w:pPr>
      <w:proofErr w:type="spellStart"/>
      <w:r w:rsidRPr="000F3293">
        <w:t>Καραλίδου</w:t>
      </w:r>
      <w:proofErr w:type="spellEnd"/>
      <w:r w:rsidRPr="000F3293">
        <w:t xml:space="preserve">, Σ. (2022). </w:t>
      </w:r>
      <w:r w:rsidRPr="000F3293">
        <w:rPr>
          <w:rStyle w:val="a5"/>
        </w:rPr>
        <w:t>Σύγχρονες εξελίξεις στην προστασία και προοπτικές σε εθνικό και διεθνές επίπεδο</w:t>
      </w:r>
      <w:r w:rsidRPr="000F3293">
        <w:t xml:space="preserve"> (Διπλωματική εργασία). Αθήνα: Εθνικό και Καποδιστριακό Πανεπιστήμιο Αθηνών.</w:t>
      </w:r>
    </w:p>
    <w:p w14:paraId="6366CE96" w14:textId="77777777" w:rsidR="008D6D7C" w:rsidRPr="000F3293" w:rsidRDefault="008D6D7C" w:rsidP="002436FE">
      <w:pPr>
        <w:pStyle w:val="Web"/>
        <w:spacing w:line="360" w:lineRule="auto"/>
        <w:ind w:left="360"/>
        <w:jc w:val="both"/>
      </w:pPr>
      <w:r w:rsidRPr="000F3293">
        <w:t xml:space="preserve">Πουρνάρα, Μ. (2009, 10 Νοεμβρίου). Η οδύσσεια του κρατήρα του Ευφρονίου και το ιταλικό παράδειγμα. </w:t>
      </w:r>
      <w:r w:rsidRPr="000F3293">
        <w:rPr>
          <w:rStyle w:val="a5"/>
        </w:rPr>
        <w:t>Η Καθημερινή</w:t>
      </w:r>
      <w:r w:rsidRPr="000F3293">
        <w:t xml:space="preserve">. Ανακτήθηκε 1 Απριλίου 2026 από </w:t>
      </w:r>
      <w:hyperlink r:id="rId63" w:history="1">
        <w:r w:rsidRPr="000F3293">
          <w:rPr>
            <w:rStyle w:val="-"/>
          </w:rPr>
          <w:t>https://www.kathimerini.gr/culture/363567/i-odysseia-toy-kratira-toy-eyfronioy-kai-to-italiko-paradeigma/</w:t>
        </w:r>
      </w:hyperlink>
      <w:r w:rsidRPr="000F3293">
        <w:t xml:space="preserve"> </w:t>
      </w:r>
    </w:p>
    <w:p w14:paraId="7A103D36" w14:textId="77777777" w:rsidR="008D6D7C" w:rsidRPr="00E22724" w:rsidRDefault="008D6D7C" w:rsidP="002436FE">
      <w:pPr>
        <w:pStyle w:val="Web"/>
        <w:spacing w:line="360" w:lineRule="auto"/>
        <w:ind w:left="360"/>
        <w:jc w:val="both"/>
      </w:pPr>
      <w:r w:rsidRPr="000F3293">
        <w:t xml:space="preserve">Πρεσβεία της Ελλάδας στο Παρίσι. (2012). Επαναπατρισμός δύο αρχαιοτήτων από το μουσείο </w:t>
      </w:r>
      <w:proofErr w:type="spellStart"/>
      <w:r w:rsidRPr="000F3293">
        <w:t>Getty</w:t>
      </w:r>
      <w:proofErr w:type="spellEnd"/>
      <w:r w:rsidRPr="000F3293">
        <w:t xml:space="preserve">. </w:t>
      </w:r>
      <w:r w:rsidRPr="000F3293">
        <w:rPr>
          <w:rStyle w:val="a5"/>
        </w:rPr>
        <w:t>Υπουργείο Εξωτερικών</w:t>
      </w:r>
      <w:r w:rsidRPr="000F3293">
        <w:t xml:space="preserve">. Ανακτήθηκε 1 Απριλίου 2026 από </w:t>
      </w:r>
      <w:hyperlink r:id="rId64" w:history="1">
        <w:r w:rsidRPr="000F3293">
          <w:rPr>
            <w:rStyle w:val="-"/>
            <w:rFonts w:eastAsiaTheme="majorEastAsia"/>
          </w:rPr>
          <w:t>https://www.mfa.gr/france/presveia/news/epanapatrismos-duo-arkhaioteton-apo-to-mouseio-getty.html</w:t>
        </w:r>
      </w:hyperlink>
    </w:p>
    <w:p w14:paraId="5FFB55F5" w14:textId="2CD31406" w:rsidR="000B0296" w:rsidRPr="00F93263" w:rsidRDefault="000B0296" w:rsidP="00417A98">
      <w:pPr>
        <w:spacing w:after="120" w:line="360" w:lineRule="auto"/>
        <w:jc w:val="both"/>
        <w:rPr>
          <w:rFonts w:cs="Times New Roman"/>
          <w:bCs/>
        </w:rPr>
      </w:pPr>
    </w:p>
    <w:sectPr w:rsidR="000B0296" w:rsidRPr="00F93263" w:rsidSect="00C52CFB">
      <w:footerReference w:type="even" r:id="rId65"/>
      <w:footerReference w:type="default" r:id="rId6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C76A9" w14:textId="77777777" w:rsidR="005E7D2C" w:rsidRDefault="005E7D2C" w:rsidP="00C52CFB">
      <w:pPr>
        <w:spacing w:after="0" w:line="240" w:lineRule="auto"/>
      </w:pPr>
      <w:r>
        <w:separator/>
      </w:r>
    </w:p>
  </w:endnote>
  <w:endnote w:type="continuationSeparator" w:id="0">
    <w:p w14:paraId="3B49EE7C" w14:textId="77777777" w:rsidR="005E7D2C" w:rsidRDefault="005E7D2C" w:rsidP="00C52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1718243374"/>
      <w:docPartObj>
        <w:docPartGallery w:val="Page Numbers (Bottom of Page)"/>
        <w:docPartUnique/>
      </w:docPartObj>
    </w:sdtPr>
    <w:sdtContent>
      <w:p w14:paraId="3F8BA1F5" w14:textId="77777777" w:rsidR="009214FA" w:rsidRDefault="009214FA" w:rsidP="009214FA">
        <w:pPr>
          <w:pStyle w:val="a7"/>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6AD10539" w14:textId="77777777" w:rsidR="009214FA" w:rsidRDefault="009214FA" w:rsidP="00C52CF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987361750"/>
      <w:docPartObj>
        <w:docPartGallery w:val="Page Numbers (Bottom of Page)"/>
        <w:docPartUnique/>
      </w:docPartObj>
    </w:sdtPr>
    <w:sdtContent>
      <w:p w14:paraId="0DB7521F" w14:textId="128C6B74" w:rsidR="009214FA" w:rsidRDefault="009214FA" w:rsidP="009214FA">
        <w:pPr>
          <w:pStyle w:val="a7"/>
          <w:framePr w:wrap="none" w:vAnchor="text" w:hAnchor="margin" w:xAlign="right" w:y="1"/>
          <w:rPr>
            <w:rStyle w:val="a8"/>
          </w:rPr>
        </w:pPr>
        <w:r>
          <w:rPr>
            <w:rStyle w:val="a8"/>
          </w:rPr>
          <w:fldChar w:fldCharType="begin"/>
        </w:r>
        <w:r>
          <w:rPr>
            <w:rStyle w:val="a8"/>
          </w:rPr>
          <w:instrText xml:space="preserve"> PAGE </w:instrText>
        </w:r>
        <w:r>
          <w:rPr>
            <w:rStyle w:val="a8"/>
          </w:rPr>
          <w:fldChar w:fldCharType="separate"/>
        </w:r>
        <w:r w:rsidR="004733A6">
          <w:rPr>
            <w:rStyle w:val="a8"/>
            <w:noProof/>
          </w:rPr>
          <w:t>2</w:t>
        </w:r>
        <w:r>
          <w:rPr>
            <w:rStyle w:val="a8"/>
          </w:rPr>
          <w:fldChar w:fldCharType="end"/>
        </w:r>
      </w:p>
    </w:sdtContent>
  </w:sdt>
  <w:p w14:paraId="4CD61972" w14:textId="343F00D3" w:rsidR="009214FA" w:rsidRDefault="009214FA" w:rsidP="00C52CFB">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B590A" w14:textId="77777777" w:rsidR="005E7D2C" w:rsidRDefault="005E7D2C" w:rsidP="00C52CFB">
      <w:pPr>
        <w:spacing w:after="0" w:line="240" w:lineRule="auto"/>
      </w:pPr>
      <w:r>
        <w:separator/>
      </w:r>
    </w:p>
  </w:footnote>
  <w:footnote w:type="continuationSeparator" w:id="0">
    <w:p w14:paraId="7C4AFA09" w14:textId="77777777" w:rsidR="005E7D2C" w:rsidRDefault="005E7D2C" w:rsidP="00C52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554"/>
    </w:tblGrid>
    <w:tr w:rsidR="00531BBB" w:rsidRPr="00BA0F20" w14:paraId="63D0037E" w14:textId="77777777" w:rsidTr="00AD7F36">
      <w:trPr>
        <w:trHeight w:val="851"/>
      </w:trPr>
      <w:tc>
        <w:tcPr>
          <w:tcW w:w="2235" w:type="dxa"/>
          <w:tcBorders>
            <w:top w:val="nil"/>
            <w:left w:val="nil"/>
            <w:bottom w:val="nil"/>
            <w:right w:val="nil"/>
          </w:tcBorders>
          <w:vAlign w:val="center"/>
        </w:tcPr>
        <w:p w14:paraId="03404B31" w14:textId="77777777" w:rsidR="00531BBB" w:rsidRDefault="00531BBB" w:rsidP="00531BBB">
          <w:pPr>
            <w:pStyle w:val="a9"/>
          </w:pPr>
          <w:r>
            <w:rPr>
              <w:noProof/>
            </w:rPr>
            <w:drawing>
              <wp:inline distT="0" distB="0" distL="0" distR="0" wp14:anchorId="3E22E8CB" wp14:editId="5C497C6D">
                <wp:extent cx="1123950" cy="419100"/>
                <wp:effectExtent l="0" t="0" r="0" b="0"/>
                <wp:docPr id="4" name="Picture 4" descr="logo_eap_new_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eap_new_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419100"/>
                        </a:xfrm>
                        <a:prstGeom prst="rect">
                          <a:avLst/>
                        </a:prstGeom>
                        <a:noFill/>
                        <a:ln>
                          <a:noFill/>
                        </a:ln>
                      </pic:spPr>
                    </pic:pic>
                  </a:graphicData>
                </a:graphic>
              </wp:inline>
            </w:drawing>
          </w:r>
        </w:p>
      </w:tc>
      <w:tc>
        <w:tcPr>
          <w:tcW w:w="6554" w:type="dxa"/>
          <w:tcBorders>
            <w:top w:val="nil"/>
            <w:left w:val="nil"/>
            <w:bottom w:val="nil"/>
            <w:right w:val="nil"/>
          </w:tcBorders>
          <w:vAlign w:val="center"/>
        </w:tcPr>
        <w:p w14:paraId="5491434F" w14:textId="5EDE1E0C" w:rsidR="00531BBB" w:rsidRPr="00BA0F20" w:rsidRDefault="00531BBB" w:rsidP="00531BBB">
          <w:pPr>
            <w:pStyle w:val="a9"/>
            <w:rPr>
              <w:i/>
            </w:rPr>
          </w:pPr>
          <w:r w:rsidRPr="00BA0F20">
            <w:rPr>
              <w:i/>
            </w:rPr>
            <w:t>«</w:t>
          </w:r>
          <w:r>
            <w:rPr>
              <w:i/>
            </w:rPr>
            <w:t>Ηλίας Καλύβας</w:t>
          </w:r>
          <w:r w:rsidRPr="00BA0F20">
            <w:rPr>
              <w:i/>
            </w:rPr>
            <w:t>», «</w:t>
          </w:r>
          <w:r w:rsidRPr="00531BBB">
            <w:rPr>
              <w:i/>
            </w:rPr>
            <w:t>Πολιτιστική Διπλωματία Και Επαναπατρισμός Πολιτιστικών Αγαθών. Συγκριτική Μελέτη Των Γλυπτών Του Παρθενώνα Και Των Μπρούτζινων Του Μπενίν</w:t>
          </w:r>
          <w:r w:rsidRPr="00BA0F20">
            <w:rPr>
              <w:i/>
            </w:rPr>
            <w:t>»</w:t>
          </w:r>
        </w:p>
      </w:tc>
    </w:tr>
  </w:tbl>
  <w:p w14:paraId="7117E284" w14:textId="77777777" w:rsidR="00531BBB" w:rsidRPr="00531BBB" w:rsidRDefault="00531BBB" w:rsidP="00531BB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3E2E"/>
    <w:multiLevelType w:val="hybridMultilevel"/>
    <w:tmpl w:val="6AACDA78"/>
    <w:lvl w:ilvl="0" w:tplc="DC08BC90">
      <w:start w:val="1"/>
      <w:numFmt w:val="bullet"/>
      <w:lvlText w:val=""/>
      <w:lvlJc w:val="left"/>
      <w:pPr>
        <w:ind w:left="720" w:hanging="360"/>
      </w:pPr>
      <w:rPr>
        <w:rFonts w:ascii="Symbol" w:hAnsi="Symbol"/>
      </w:rPr>
    </w:lvl>
    <w:lvl w:ilvl="1" w:tplc="5214354C">
      <w:start w:val="1"/>
      <w:numFmt w:val="bullet"/>
      <w:lvlText w:val=""/>
      <w:lvlJc w:val="left"/>
      <w:pPr>
        <w:ind w:left="720" w:hanging="360"/>
      </w:pPr>
      <w:rPr>
        <w:rFonts w:ascii="Symbol" w:hAnsi="Symbol"/>
      </w:rPr>
    </w:lvl>
    <w:lvl w:ilvl="2" w:tplc="2562A45C">
      <w:start w:val="1"/>
      <w:numFmt w:val="bullet"/>
      <w:lvlText w:val=""/>
      <w:lvlJc w:val="left"/>
      <w:pPr>
        <w:ind w:left="720" w:hanging="360"/>
      </w:pPr>
      <w:rPr>
        <w:rFonts w:ascii="Symbol" w:hAnsi="Symbol"/>
      </w:rPr>
    </w:lvl>
    <w:lvl w:ilvl="3" w:tplc="0AA26524">
      <w:start w:val="1"/>
      <w:numFmt w:val="bullet"/>
      <w:lvlText w:val=""/>
      <w:lvlJc w:val="left"/>
      <w:pPr>
        <w:ind w:left="720" w:hanging="360"/>
      </w:pPr>
      <w:rPr>
        <w:rFonts w:ascii="Symbol" w:hAnsi="Symbol"/>
      </w:rPr>
    </w:lvl>
    <w:lvl w:ilvl="4" w:tplc="999C5DF4">
      <w:start w:val="1"/>
      <w:numFmt w:val="bullet"/>
      <w:lvlText w:val=""/>
      <w:lvlJc w:val="left"/>
      <w:pPr>
        <w:ind w:left="720" w:hanging="360"/>
      </w:pPr>
      <w:rPr>
        <w:rFonts w:ascii="Symbol" w:hAnsi="Symbol"/>
      </w:rPr>
    </w:lvl>
    <w:lvl w:ilvl="5" w:tplc="AE00A4CE">
      <w:start w:val="1"/>
      <w:numFmt w:val="bullet"/>
      <w:lvlText w:val=""/>
      <w:lvlJc w:val="left"/>
      <w:pPr>
        <w:ind w:left="720" w:hanging="360"/>
      </w:pPr>
      <w:rPr>
        <w:rFonts w:ascii="Symbol" w:hAnsi="Symbol"/>
      </w:rPr>
    </w:lvl>
    <w:lvl w:ilvl="6" w:tplc="206ACDCA">
      <w:start w:val="1"/>
      <w:numFmt w:val="bullet"/>
      <w:lvlText w:val=""/>
      <w:lvlJc w:val="left"/>
      <w:pPr>
        <w:ind w:left="720" w:hanging="360"/>
      </w:pPr>
      <w:rPr>
        <w:rFonts w:ascii="Symbol" w:hAnsi="Symbol"/>
      </w:rPr>
    </w:lvl>
    <w:lvl w:ilvl="7" w:tplc="539CF186">
      <w:start w:val="1"/>
      <w:numFmt w:val="bullet"/>
      <w:lvlText w:val=""/>
      <w:lvlJc w:val="left"/>
      <w:pPr>
        <w:ind w:left="720" w:hanging="360"/>
      </w:pPr>
      <w:rPr>
        <w:rFonts w:ascii="Symbol" w:hAnsi="Symbol"/>
      </w:rPr>
    </w:lvl>
    <w:lvl w:ilvl="8" w:tplc="361E82C4">
      <w:start w:val="1"/>
      <w:numFmt w:val="bullet"/>
      <w:lvlText w:val=""/>
      <w:lvlJc w:val="left"/>
      <w:pPr>
        <w:ind w:left="720" w:hanging="360"/>
      </w:pPr>
      <w:rPr>
        <w:rFonts w:ascii="Symbol" w:hAnsi="Symbol"/>
      </w:rPr>
    </w:lvl>
  </w:abstractNum>
  <w:abstractNum w:abstractNumId="1" w15:restartNumberingAfterBreak="0">
    <w:nsid w:val="26861822"/>
    <w:multiLevelType w:val="hybridMultilevel"/>
    <w:tmpl w:val="1E8C503C"/>
    <w:lvl w:ilvl="0" w:tplc="87BE1F00">
      <w:start w:val="1"/>
      <w:numFmt w:val="bullet"/>
      <w:lvlText w:val=""/>
      <w:lvlJc w:val="left"/>
      <w:pPr>
        <w:ind w:left="720" w:hanging="360"/>
      </w:pPr>
      <w:rPr>
        <w:rFonts w:ascii="Symbol" w:hAnsi="Symbol"/>
      </w:rPr>
    </w:lvl>
    <w:lvl w:ilvl="1" w:tplc="C014528C">
      <w:start w:val="1"/>
      <w:numFmt w:val="bullet"/>
      <w:lvlText w:val=""/>
      <w:lvlJc w:val="left"/>
      <w:pPr>
        <w:ind w:left="720" w:hanging="360"/>
      </w:pPr>
      <w:rPr>
        <w:rFonts w:ascii="Symbol" w:hAnsi="Symbol"/>
      </w:rPr>
    </w:lvl>
    <w:lvl w:ilvl="2" w:tplc="328694C0">
      <w:start w:val="1"/>
      <w:numFmt w:val="bullet"/>
      <w:lvlText w:val=""/>
      <w:lvlJc w:val="left"/>
      <w:pPr>
        <w:ind w:left="720" w:hanging="360"/>
      </w:pPr>
      <w:rPr>
        <w:rFonts w:ascii="Symbol" w:hAnsi="Symbol"/>
      </w:rPr>
    </w:lvl>
    <w:lvl w:ilvl="3" w:tplc="1EFAB572">
      <w:start w:val="1"/>
      <w:numFmt w:val="bullet"/>
      <w:lvlText w:val=""/>
      <w:lvlJc w:val="left"/>
      <w:pPr>
        <w:ind w:left="720" w:hanging="360"/>
      </w:pPr>
      <w:rPr>
        <w:rFonts w:ascii="Symbol" w:hAnsi="Symbol"/>
      </w:rPr>
    </w:lvl>
    <w:lvl w:ilvl="4" w:tplc="7EFC2852">
      <w:start w:val="1"/>
      <w:numFmt w:val="bullet"/>
      <w:lvlText w:val=""/>
      <w:lvlJc w:val="left"/>
      <w:pPr>
        <w:ind w:left="720" w:hanging="360"/>
      </w:pPr>
      <w:rPr>
        <w:rFonts w:ascii="Symbol" w:hAnsi="Symbol"/>
      </w:rPr>
    </w:lvl>
    <w:lvl w:ilvl="5" w:tplc="5C42D8E6">
      <w:start w:val="1"/>
      <w:numFmt w:val="bullet"/>
      <w:lvlText w:val=""/>
      <w:lvlJc w:val="left"/>
      <w:pPr>
        <w:ind w:left="720" w:hanging="360"/>
      </w:pPr>
      <w:rPr>
        <w:rFonts w:ascii="Symbol" w:hAnsi="Symbol"/>
      </w:rPr>
    </w:lvl>
    <w:lvl w:ilvl="6" w:tplc="A07EB090">
      <w:start w:val="1"/>
      <w:numFmt w:val="bullet"/>
      <w:lvlText w:val=""/>
      <w:lvlJc w:val="left"/>
      <w:pPr>
        <w:ind w:left="720" w:hanging="360"/>
      </w:pPr>
      <w:rPr>
        <w:rFonts w:ascii="Symbol" w:hAnsi="Symbol"/>
      </w:rPr>
    </w:lvl>
    <w:lvl w:ilvl="7" w:tplc="F00A6A84">
      <w:start w:val="1"/>
      <w:numFmt w:val="bullet"/>
      <w:lvlText w:val=""/>
      <w:lvlJc w:val="left"/>
      <w:pPr>
        <w:ind w:left="720" w:hanging="360"/>
      </w:pPr>
      <w:rPr>
        <w:rFonts w:ascii="Symbol" w:hAnsi="Symbol"/>
      </w:rPr>
    </w:lvl>
    <w:lvl w:ilvl="8" w:tplc="A7DE6EB6">
      <w:start w:val="1"/>
      <w:numFmt w:val="bullet"/>
      <w:lvlText w:val=""/>
      <w:lvlJc w:val="left"/>
      <w:pPr>
        <w:ind w:left="720" w:hanging="360"/>
      </w:pPr>
      <w:rPr>
        <w:rFonts w:ascii="Symbol" w:hAnsi="Symbol"/>
      </w:rPr>
    </w:lvl>
  </w:abstractNum>
  <w:abstractNum w:abstractNumId="2" w15:restartNumberingAfterBreak="0">
    <w:nsid w:val="340E4985"/>
    <w:multiLevelType w:val="hybridMultilevel"/>
    <w:tmpl w:val="A4DE7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103512"/>
    <w:multiLevelType w:val="hybridMultilevel"/>
    <w:tmpl w:val="7D7459EE"/>
    <w:lvl w:ilvl="0" w:tplc="864CAB44">
      <w:start w:val="1"/>
      <w:numFmt w:val="bullet"/>
      <w:lvlText w:val=""/>
      <w:lvlJc w:val="left"/>
      <w:pPr>
        <w:ind w:left="720" w:hanging="360"/>
      </w:pPr>
      <w:rPr>
        <w:rFonts w:ascii="Symbol" w:hAnsi="Symbol"/>
      </w:rPr>
    </w:lvl>
    <w:lvl w:ilvl="1" w:tplc="FDAE96A4">
      <w:start w:val="1"/>
      <w:numFmt w:val="bullet"/>
      <w:lvlText w:val=""/>
      <w:lvlJc w:val="left"/>
      <w:pPr>
        <w:ind w:left="720" w:hanging="360"/>
      </w:pPr>
      <w:rPr>
        <w:rFonts w:ascii="Symbol" w:hAnsi="Symbol"/>
      </w:rPr>
    </w:lvl>
    <w:lvl w:ilvl="2" w:tplc="98E63688">
      <w:start w:val="1"/>
      <w:numFmt w:val="bullet"/>
      <w:lvlText w:val=""/>
      <w:lvlJc w:val="left"/>
      <w:pPr>
        <w:ind w:left="720" w:hanging="360"/>
      </w:pPr>
      <w:rPr>
        <w:rFonts w:ascii="Symbol" w:hAnsi="Symbol"/>
      </w:rPr>
    </w:lvl>
    <w:lvl w:ilvl="3" w:tplc="50100322">
      <w:start w:val="1"/>
      <w:numFmt w:val="bullet"/>
      <w:lvlText w:val=""/>
      <w:lvlJc w:val="left"/>
      <w:pPr>
        <w:ind w:left="720" w:hanging="360"/>
      </w:pPr>
      <w:rPr>
        <w:rFonts w:ascii="Symbol" w:hAnsi="Symbol"/>
      </w:rPr>
    </w:lvl>
    <w:lvl w:ilvl="4" w:tplc="9E6E4D54">
      <w:start w:val="1"/>
      <w:numFmt w:val="bullet"/>
      <w:lvlText w:val=""/>
      <w:lvlJc w:val="left"/>
      <w:pPr>
        <w:ind w:left="720" w:hanging="360"/>
      </w:pPr>
      <w:rPr>
        <w:rFonts w:ascii="Symbol" w:hAnsi="Symbol"/>
      </w:rPr>
    </w:lvl>
    <w:lvl w:ilvl="5" w:tplc="2408BC1C">
      <w:start w:val="1"/>
      <w:numFmt w:val="bullet"/>
      <w:lvlText w:val=""/>
      <w:lvlJc w:val="left"/>
      <w:pPr>
        <w:ind w:left="720" w:hanging="360"/>
      </w:pPr>
      <w:rPr>
        <w:rFonts w:ascii="Symbol" w:hAnsi="Symbol"/>
      </w:rPr>
    </w:lvl>
    <w:lvl w:ilvl="6" w:tplc="33FE23B8">
      <w:start w:val="1"/>
      <w:numFmt w:val="bullet"/>
      <w:lvlText w:val=""/>
      <w:lvlJc w:val="left"/>
      <w:pPr>
        <w:ind w:left="720" w:hanging="360"/>
      </w:pPr>
      <w:rPr>
        <w:rFonts w:ascii="Symbol" w:hAnsi="Symbol"/>
      </w:rPr>
    </w:lvl>
    <w:lvl w:ilvl="7" w:tplc="CAAA705A">
      <w:start w:val="1"/>
      <w:numFmt w:val="bullet"/>
      <w:lvlText w:val=""/>
      <w:lvlJc w:val="left"/>
      <w:pPr>
        <w:ind w:left="720" w:hanging="360"/>
      </w:pPr>
      <w:rPr>
        <w:rFonts w:ascii="Symbol" w:hAnsi="Symbol"/>
      </w:rPr>
    </w:lvl>
    <w:lvl w:ilvl="8" w:tplc="97F401EC">
      <w:start w:val="1"/>
      <w:numFmt w:val="bullet"/>
      <w:lvlText w:val=""/>
      <w:lvlJc w:val="left"/>
      <w:pPr>
        <w:ind w:left="720" w:hanging="360"/>
      </w:pPr>
      <w:rPr>
        <w:rFonts w:ascii="Symbol" w:hAnsi="Symbol"/>
      </w:rPr>
    </w:lvl>
  </w:abstractNum>
  <w:abstractNum w:abstractNumId="4" w15:restartNumberingAfterBreak="0">
    <w:nsid w:val="4C5C334F"/>
    <w:multiLevelType w:val="hybridMultilevel"/>
    <w:tmpl w:val="38185A5A"/>
    <w:lvl w:ilvl="0" w:tplc="9D2C3192">
      <w:start w:val="1"/>
      <w:numFmt w:val="bullet"/>
      <w:lvlText w:val=""/>
      <w:lvlJc w:val="left"/>
      <w:pPr>
        <w:ind w:left="720" w:hanging="360"/>
      </w:pPr>
      <w:rPr>
        <w:rFonts w:ascii="Symbol" w:hAnsi="Symbol"/>
      </w:rPr>
    </w:lvl>
    <w:lvl w:ilvl="1" w:tplc="2ABA94D4">
      <w:start w:val="1"/>
      <w:numFmt w:val="bullet"/>
      <w:lvlText w:val=""/>
      <w:lvlJc w:val="left"/>
      <w:pPr>
        <w:ind w:left="720" w:hanging="360"/>
      </w:pPr>
      <w:rPr>
        <w:rFonts w:ascii="Symbol" w:hAnsi="Symbol"/>
      </w:rPr>
    </w:lvl>
    <w:lvl w:ilvl="2" w:tplc="F8381156">
      <w:start w:val="1"/>
      <w:numFmt w:val="bullet"/>
      <w:lvlText w:val=""/>
      <w:lvlJc w:val="left"/>
      <w:pPr>
        <w:ind w:left="720" w:hanging="360"/>
      </w:pPr>
      <w:rPr>
        <w:rFonts w:ascii="Symbol" w:hAnsi="Symbol"/>
      </w:rPr>
    </w:lvl>
    <w:lvl w:ilvl="3" w:tplc="83FA9384">
      <w:start w:val="1"/>
      <w:numFmt w:val="bullet"/>
      <w:lvlText w:val=""/>
      <w:lvlJc w:val="left"/>
      <w:pPr>
        <w:ind w:left="720" w:hanging="360"/>
      </w:pPr>
      <w:rPr>
        <w:rFonts w:ascii="Symbol" w:hAnsi="Symbol"/>
      </w:rPr>
    </w:lvl>
    <w:lvl w:ilvl="4" w:tplc="9A646576">
      <w:start w:val="1"/>
      <w:numFmt w:val="bullet"/>
      <w:lvlText w:val=""/>
      <w:lvlJc w:val="left"/>
      <w:pPr>
        <w:ind w:left="720" w:hanging="360"/>
      </w:pPr>
      <w:rPr>
        <w:rFonts w:ascii="Symbol" w:hAnsi="Symbol"/>
      </w:rPr>
    </w:lvl>
    <w:lvl w:ilvl="5" w:tplc="D1CAEB70">
      <w:start w:val="1"/>
      <w:numFmt w:val="bullet"/>
      <w:lvlText w:val=""/>
      <w:lvlJc w:val="left"/>
      <w:pPr>
        <w:ind w:left="720" w:hanging="360"/>
      </w:pPr>
      <w:rPr>
        <w:rFonts w:ascii="Symbol" w:hAnsi="Symbol"/>
      </w:rPr>
    </w:lvl>
    <w:lvl w:ilvl="6" w:tplc="CE9E1E78">
      <w:start w:val="1"/>
      <w:numFmt w:val="bullet"/>
      <w:lvlText w:val=""/>
      <w:lvlJc w:val="left"/>
      <w:pPr>
        <w:ind w:left="720" w:hanging="360"/>
      </w:pPr>
      <w:rPr>
        <w:rFonts w:ascii="Symbol" w:hAnsi="Symbol"/>
      </w:rPr>
    </w:lvl>
    <w:lvl w:ilvl="7" w:tplc="65BEB404">
      <w:start w:val="1"/>
      <w:numFmt w:val="bullet"/>
      <w:lvlText w:val=""/>
      <w:lvlJc w:val="left"/>
      <w:pPr>
        <w:ind w:left="720" w:hanging="360"/>
      </w:pPr>
      <w:rPr>
        <w:rFonts w:ascii="Symbol" w:hAnsi="Symbol"/>
      </w:rPr>
    </w:lvl>
    <w:lvl w:ilvl="8" w:tplc="B2B4142C">
      <w:start w:val="1"/>
      <w:numFmt w:val="bullet"/>
      <w:lvlText w:val=""/>
      <w:lvlJc w:val="left"/>
      <w:pPr>
        <w:ind w:left="720" w:hanging="360"/>
      </w:pPr>
      <w:rPr>
        <w:rFonts w:ascii="Symbol" w:hAnsi="Symbol"/>
      </w:rPr>
    </w:lvl>
  </w:abstractNum>
  <w:abstractNum w:abstractNumId="5" w15:restartNumberingAfterBreak="0">
    <w:nsid w:val="5FFA4E53"/>
    <w:multiLevelType w:val="hybridMultilevel"/>
    <w:tmpl w:val="015EC694"/>
    <w:lvl w:ilvl="0" w:tplc="BDC8582A">
      <w:start w:val="1"/>
      <w:numFmt w:val="bullet"/>
      <w:lvlText w:val=""/>
      <w:lvlJc w:val="left"/>
      <w:pPr>
        <w:ind w:left="720" w:hanging="360"/>
      </w:pPr>
      <w:rPr>
        <w:rFonts w:ascii="Symbol" w:hAnsi="Symbol"/>
      </w:rPr>
    </w:lvl>
    <w:lvl w:ilvl="1" w:tplc="A70E76EA">
      <w:start w:val="1"/>
      <w:numFmt w:val="bullet"/>
      <w:lvlText w:val=""/>
      <w:lvlJc w:val="left"/>
      <w:pPr>
        <w:ind w:left="720" w:hanging="360"/>
      </w:pPr>
      <w:rPr>
        <w:rFonts w:ascii="Symbol" w:hAnsi="Symbol"/>
      </w:rPr>
    </w:lvl>
    <w:lvl w:ilvl="2" w:tplc="52060028">
      <w:start w:val="1"/>
      <w:numFmt w:val="bullet"/>
      <w:lvlText w:val=""/>
      <w:lvlJc w:val="left"/>
      <w:pPr>
        <w:ind w:left="720" w:hanging="360"/>
      </w:pPr>
      <w:rPr>
        <w:rFonts w:ascii="Symbol" w:hAnsi="Symbol"/>
      </w:rPr>
    </w:lvl>
    <w:lvl w:ilvl="3" w:tplc="40CE9592">
      <w:start w:val="1"/>
      <w:numFmt w:val="bullet"/>
      <w:lvlText w:val=""/>
      <w:lvlJc w:val="left"/>
      <w:pPr>
        <w:ind w:left="720" w:hanging="360"/>
      </w:pPr>
      <w:rPr>
        <w:rFonts w:ascii="Symbol" w:hAnsi="Symbol"/>
      </w:rPr>
    </w:lvl>
    <w:lvl w:ilvl="4" w:tplc="6C8CBFA6">
      <w:start w:val="1"/>
      <w:numFmt w:val="bullet"/>
      <w:lvlText w:val=""/>
      <w:lvlJc w:val="left"/>
      <w:pPr>
        <w:ind w:left="720" w:hanging="360"/>
      </w:pPr>
      <w:rPr>
        <w:rFonts w:ascii="Symbol" w:hAnsi="Symbol"/>
      </w:rPr>
    </w:lvl>
    <w:lvl w:ilvl="5" w:tplc="E4E48272">
      <w:start w:val="1"/>
      <w:numFmt w:val="bullet"/>
      <w:lvlText w:val=""/>
      <w:lvlJc w:val="left"/>
      <w:pPr>
        <w:ind w:left="720" w:hanging="360"/>
      </w:pPr>
      <w:rPr>
        <w:rFonts w:ascii="Symbol" w:hAnsi="Symbol"/>
      </w:rPr>
    </w:lvl>
    <w:lvl w:ilvl="6" w:tplc="D2440234">
      <w:start w:val="1"/>
      <w:numFmt w:val="bullet"/>
      <w:lvlText w:val=""/>
      <w:lvlJc w:val="left"/>
      <w:pPr>
        <w:ind w:left="720" w:hanging="360"/>
      </w:pPr>
      <w:rPr>
        <w:rFonts w:ascii="Symbol" w:hAnsi="Symbol"/>
      </w:rPr>
    </w:lvl>
    <w:lvl w:ilvl="7" w:tplc="E94EDC0A">
      <w:start w:val="1"/>
      <w:numFmt w:val="bullet"/>
      <w:lvlText w:val=""/>
      <w:lvlJc w:val="left"/>
      <w:pPr>
        <w:ind w:left="720" w:hanging="360"/>
      </w:pPr>
      <w:rPr>
        <w:rFonts w:ascii="Symbol" w:hAnsi="Symbol"/>
      </w:rPr>
    </w:lvl>
    <w:lvl w:ilvl="8" w:tplc="2F9CE320">
      <w:start w:val="1"/>
      <w:numFmt w:val="bullet"/>
      <w:lvlText w:val=""/>
      <w:lvlJc w:val="left"/>
      <w:pPr>
        <w:ind w:left="720" w:hanging="360"/>
      </w:pPr>
      <w:rPr>
        <w:rFonts w:ascii="Symbol" w:hAnsi="Symbol"/>
      </w:rPr>
    </w:lvl>
  </w:abstractNum>
  <w:abstractNum w:abstractNumId="6" w15:restartNumberingAfterBreak="0">
    <w:nsid w:val="6CDB63AF"/>
    <w:multiLevelType w:val="hybridMultilevel"/>
    <w:tmpl w:val="0B46D14E"/>
    <w:lvl w:ilvl="0" w:tplc="53184F9E">
      <w:start w:val="1"/>
      <w:numFmt w:val="bullet"/>
      <w:lvlText w:val=""/>
      <w:lvlJc w:val="left"/>
      <w:pPr>
        <w:ind w:left="720" w:hanging="360"/>
      </w:pPr>
      <w:rPr>
        <w:rFonts w:ascii="Symbol" w:hAnsi="Symbol"/>
      </w:rPr>
    </w:lvl>
    <w:lvl w:ilvl="1" w:tplc="E94C8E1E">
      <w:start w:val="1"/>
      <w:numFmt w:val="bullet"/>
      <w:lvlText w:val=""/>
      <w:lvlJc w:val="left"/>
      <w:pPr>
        <w:ind w:left="720" w:hanging="360"/>
      </w:pPr>
      <w:rPr>
        <w:rFonts w:ascii="Symbol" w:hAnsi="Symbol"/>
      </w:rPr>
    </w:lvl>
    <w:lvl w:ilvl="2" w:tplc="82DCB214">
      <w:start w:val="1"/>
      <w:numFmt w:val="bullet"/>
      <w:lvlText w:val=""/>
      <w:lvlJc w:val="left"/>
      <w:pPr>
        <w:ind w:left="720" w:hanging="360"/>
      </w:pPr>
      <w:rPr>
        <w:rFonts w:ascii="Symbol" w:hAnsi="Symbol"/>
      </w:rPr>
    </w:lvl>
    <w:lvl w:ilvl="3" w:tplc="589AA5D8">
      <w:start w:val="1"/>
      <w:numFmt w:val="bullet"/>
      <w:lvlText w:val=""/>
      <w:lvlJc w:val="left"/>
      <w:pPr>
        <w:ind w:left="720" w:hanging="360"/>
      </w:pPr>
      <w:rPr>
        <w:rFonts w:ascii="Symbol" w:hAnsi="Symbol"/>
      </w:rPr>
    </w:lvl>
    <w:lvl w:ilvl="4" w:tplc="020AAEEA">
      <w:start w:val="1"/>
      <w:numFmt w:val="bullet"/>
      <w:lvlText w:val=""/>
      <w:lvlJc w:val="left"/>
      <w:pPr>
        <w:ind w:left="720" w:hanging="360"/>
      </w:pPr>
      <w:rPr>
        <w:rFonts w:ascii="Symbol" w:hAnsi="Symbol"/>
      </w:rPr>
    </w:lvl>
    <w:lvl w:ilvl="5" w:tplc="FA7866F0">
      <w:start w:val="1"/>
      <w:numFmt w:val="bullet"/>
      <w:lvlText w:val=""/>
      <w:lvlJc w:val="left"/>
      <w:pPr>
        <w:ind w:left="720" w:hanging="360"/>
      </w:pPr>
      <w:rPr>
        <w:rFonts w:ascii="Symbol" w:hAnsi="Symbol"/>
      </w:rPr>
    </w:lvl>
    <w:lvl w:ilvl="6" w:tplc="7CD20C82">
      <w:start w:val="1"/>
      <w:numFmt w:val="bullet"/>
      <w:lvlText w:val=""/>
      <w:lvlJc w:val="left"/>
      <w:pPr>
        <w:ind w:left="720" w:hanging="360"/>
      </w:pPr>
      <w:rPr>
        <w:rFonts w:ascii="Symbol" w:hAnsi="Symbol"/>
      </w:rPr>
    </w:lvl>
    <w:lvl w:ilvl="7" w:tplc="4FD4D8B2">
      <w:start w:val="1"/>
      <w:numFmt w:val="bullet"/>
      <w:lvlText w:val=""/>
      <w:lvlJc w:val="left"/>
      <w:pPr>
        <w:ind w:left="720" w:hanging="360"/>
      </w:pPr>
      <w:rPr>
        <w:rFonts w:ascii="Symbol" w:hAnsi="Symbol"/>
      </w:rPr>
    </w:lvl>
    <w:lvl w:ilvl="8" w:tplc="CC848D78">
      <w:start w:val="1"/>
      <w:numFmt w:val="bullet"/>
      <w:lvlText w:val=""/>
      <w:lvlJc w:val="left"/>
      <w:pPr>
        <w:ind w:left="720" w:hanging="360"/>
      </w:pPr>
      <w:rPr>
        <w:rFonts w:ascii="Symbol" w:hAnsi="Symbol"/>
      </w:rPr>
    </w:lvl>
  </w:abstractNum>
  <w:num w:numId="1" w16cid:durableId="272128995">
    <w:abstractNumId w:val="2"/>
  </w:num>
  <w:num w:numId="2" w16cid:durableId="2118132567">
    <w:abstractNumId w:val="3"/>
  </w:num>
  <w:num w:numId="3" w16cid:durableId="1976714275">
    <w:abstractNumId w:val="5"/>
  </w:num>
  <w:num w:numId="4" w16cid:durableId="489299482">
    <w:abstractNumId w:val="0"/>
  </w:num>
  <w:num w:numId="5" w16cid:durableId="1633438699">
    <w:abstractNumId w:val="1"/>
  </w:num>
  <w:num w:numId="6" w16cid:durableId="1393769816">
    <w:abstractNumId w:val="6"/>
  </w:num>
  <w:num w:numId="7" w16cid:durableId="212237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E2"/>
    <w:rsid w:val="0000195A"/>
    <w:rsid w:val="000052A0"/>
    <w:rsid w:val="0002151B"/>
    <w:rsid w:val="00026A0B"/>
    <w:rsid w:val="00034275"/>
    <w:rsid w:val="00042060"/>
    <w:rsid w:val="0005455F"/>
    <w:rsid w:val="00063E48"/>
    <w:rsid w:val="000740BF"/>
    <w:rsid w:val="000756FE"/>
    <w:rsid w:val="00081B64"/>
    <w:rsid w:val="000911AC"/>
    <w:rsid w:val="00097F1A"/>
    <w:rsid w:val="000B0296"/>
    <w:rsid w:val="000B394F"/>
    <w:rsid w:val="000B7D01"/>
    <w:rsid w:val="000E1F2B"/>
    <w:rsid w:val="000E3404"/>
    <w:rsid w:val="000F0E7F"/>
    <w:rsid w:val="000F3293"/>
    <w:rsid w:val="000F72CF"/>
    <w:rsid w:val="00112F37"/>
    <w:rsid w:val="001223AF"/>
    <w:rsid w:val="00123FCA"/>
    <w:rsid w:val="001302F0"/>
    <w:rsid w:val="001358B2"/>
    <w:rsid w:val="001456B3"/>
    <w:rsid w:val="001564B6"/>
    <w:rsid w:val="00184491"/>
    <w:rsid w:val="001F6866"/>
    <w:rsid w:val="001F6D8E"/>
    <w:rsid w:val="002139A4"/>
    <w:rsid w:val="00220C32"/>
    <w:rsid w:val="00221736"/>
    <w:rsid w:val="0024367C"/>
    <w:rsid w:val="002436FE"/>
    <w:rsid w:val="002465EE"/>
    <w:rsid w:val="00250421"/>
    <w:rsid w:val="00277AC2"/>
    <w:rsid w:val="002A183C"/>
    <w:rsid w:val="002C420B"/>
    <w:rsid w:val="002C4FD1"/>
    <w:rsid w:val="0031243F"/>
    <w:rsid w:val="00322C98"/>
    <w:rsid w:val="00326E90"/>
    <w:rsid w:val="003435CC"/>
    <w:rsid w:val="003847D9"/>
    <w:rsid w:val="00386D68"/>
    <w:rsid w:val="00393B89"/>
    <w:rsid w:val="003A5005"/>
    <w:rsid w:val="003A5DF8"/>
    <w:rsid w:val="003A610D"/>
    <w:rsid w:val="003B2CD0"/>
    <w:rsid w:val="003C0E47"/>
    <w:rsid w:val="003C3BE8"/>
    <w:rsid w:val="003D2E3D"/>
    <w:rsid w:val="003E28E8"/>
    <w:rsid w:val="003E4BA9"/>
    <w:rsid w:val="003F16C7"/>
    <w:rsid w:val="003F1C0B"/>
    <w:rsid w:val="00403173"/>
    <w:rsid w:val="00417A98"/>
    <w:rsid w:val="00417C2D"/>
    <w:rsid w:val="0043019D"/>
    <w:rsid w:val="00437EC6"/>
    <w:rsid w:val="004733A6"/>
    <w:rsid w:val="00476F06"/>
    <w:rsid w:val="00487C19"/>
    <w:rsid w:val="0049098B"/>
    <w:rsid w:val="0049341C"/>
    <w:rsid w:val="004B06A5"/>
    <w:rsid w:val="004C5300"/>
    <w:rsid w:val="004E0A0B"/>
    <w:rsid w:val="004F616A"/>
    <w:rsid w:val="00512330"/>
    <w:rsid w:val="00523A89"/>
    <w:rsid w:val="005302F1"/>
    <w:rsid w:val="00531BBB"/>
    <w:rsid w:val="00553039"/>
    <w:rsid w:val="00582338"/>
    <w:rsid w:val="0058337B"/>
    <w:rsid w:val="00583829"/>
    <w:rsid w:val="005923AC"/>
    <w:rsid w:val="005D7262"/>
    <w:rsid w:val="005E7D2C"/>
    <w:rsid w:val="005F1C29"/>
    <w:rsid w:val="006038BB"/>
    <w:rsid w:val="00614CD5"/>
    <w:rsid w:val="00647794"/>
    <w:rsid w:val="006534FD"/>
    <w:rsid w:val="00653EA3"/>
    <w:rsid w:val="0066663B"/>
    <w:rsid w:val="0069023B"/>
    <w:rsid w:val="00695BF7"/>
    <w:rsid w:val="006A6F8D"/>
    <w:rsid w:val="006C1647"/>
    <w:rsid w:val="006C752C"/>
    <w:rsid w:val="006D0832"/>
    <w:rsid w:val="006D3087"/>
    <w:rsid w:val="006E4573"/>
    <w:rsid w:val="006F3B23"/>
    <w:rsid w:val="006F7578"/>
    <w:rsid w:val="007244C4"/>
    <w:rsid w:val="00744BE4"/>
    <w:rsid w:val="00745B85"/>
    <w:rsid w:val="007613A2"/>
    <w:rsid w:val="007661D3"/>
    <w:rsid w:val="007857BC"/>
    <w:rsid w:val="00791192"/>
    <w:rsid w:val="007B0E5E"/>
    <w:rsid w:val="007D1F9F"/>
    <w:rsid w:val="007E01A2"/>
    <w:rsid w:val="007E4F34"/>
    <w:rsid w:val="00843BCA"/>
    <w:rsid w:val="00844534"/>
    <w:rsid w:val="0085083E"/>
    <w:rsid w:val="008528F6"/>
    <w:rsid w:val="0088691E"/>
    <w:rsid w:val="008A2C86"/>
    <w:rsid w:val="008C67BD"/>
    <w:rsid w:val="008D6D7C"/>
    <w:rsid w:val="008E28C2"/>
    <w:rsid w:val="008E48E5"/>
    <w:rsid w:val="008E77D7"/>
    <w:rsid w:val="008F1F5E"/>
    <w:rsid w:val="00904C9A"/>
    <w:rsid w:val="009214FA"/>
    <w:rsid w:val="00925A1B"/>
    <w:rsid w:val="00937FB5"/>
    <w:rsid w:val="00963F8E"/>
    <w:rsid w:val="00971253"/>
    <w:rsid w:val="0099229D"/>
    <w:rsid w:val="009953C3"/>
    <w:rsid w:val="009A3F91"/>
    <w:rsid w:val="00A06D73"/>
    <w:rsid w:val="00A07110"/>
    <w:rsid w:val="00A13413"/>
    <w:rsid w:val="00A15EB8"/>
    <w:rsid w:val="00A1665F"/>
    <w:rsid w:val="00A31BEB"/>
    <w:rsid w:val="00A40FBD"/>
    <w:rsid w:val="00A75E68"/>
    <w:rsid w:val="00A94DAA"/>
    <w:rsid w:val="00A96742"/>
    <w:rsid w:val="00AD44DA"/>
    <w:rsid w:val="00AF6AE2"/>
    <w:rsid w:val="00B15498"/>
    <w:rsid w:val="00B673E1"/>
    <w:rsid w:val="00B802E2"/>
    <w:rsid w:val="00B86629"/>
    <w:rsid w:val="00BA3B8D"/>
    <w:rsid w:val="00BC6278"/>
    <w:rsid w:val="00BD6217"/>
    <w:rsid w:val="00C136D6"/>
    <w:rsid w:val="00C14B8B"/>
    <w:rsid w:val="00C2009E"/>
    <w:rsid w:val="00C34155"/>
    <w:rsid w:val="00C37F1C"/>
    <w:rsid w:val="00C45956"/>
    <w:rsid w:val="00C52CFB"/>
    <w:rsid w:val="00C87062"/>
    <w:rsid w:val="00C96D17"/>
    <w:rsid w:val="00C97AE9"/>
    <w:rsid w:val="00CA5741"/>
    <w:rsid w:val="00CB0EA7"/>
    <w:rsid w:val="00CB30B3"/>
    <w:rsid w:val="00CC3A50"/>
    <w:rsid w:val="00CD13AD"/>
    <w:rsid w:val="00CD326C"/>
    <w:rsid w:val="00CD7D53"/>
    <w:rsid w:val="00CE04E8"/>
    <w:rsid w:val="00CE148E"/>
    <w:rsid w:val="00CF2A77"/>
    <w:rsid w:val="00CF49B3"/>
    <w:rsid w:val="00CF59DA"/>
    <w:rsid w:val="00D12FD3"/>
    <w:rsid w:val="00D22A67"/>
    <w:rsid w:val="00D278D6"/>
    <w:rsid w:val="00D441B6"/>
    <w:rsid w:val="00D471AB"/>
    <w:rsid w:val="00D53373"/>
    <w:rsid w:val="00D74C0F"/>
    <w:rsid w:val="00D83FCD"/>
    <w:rsid w:val="00DA56FC"/>
    <w:rsid w:val="00DB698D"/>
    <w:rsid w:val="00DC0F5E"/>
    <w:rsid w:val="00DD0452"/>
    <w:rsid w:val="00DD272D"/>
    <w:rsid w:val="00DD5D56"/>
    <w:rsid w:val="00DE2B61"/>
    <w:rsid w:val="00DF123C"/>
    <w:rsid w:val="00DF1C29"/>
    <w:rsid w:val="00DF3F50"/>
    <w:rsid w:val="00E102BA"/>
    <w:rsid w:val="00E1231C"/>
    <w:rsid w:val="00E22724"/>
    <w:rsid w:val="00E41BC1"/>
    <w:rsid w:val="00E4441A"/>
    <w:rsid w:val="00E52D8C"/>
    <w:rsid w:val="00E61646"/>
    <w:rsid w:val="00E87776"/>
    <w:rsid w:val="00E900F6"/>
    <w:rsid w:val="00E94B0E"/>
    <w:rsid w:val="00E9726E"/>
    <w:rsid w:val="00EA217B"/>
    <w:rsid w:val="00F02409"/>
    <w:rsid w:val="00F05D0C"/>
    <w:rsid w:val="00F34D53"/>
    <w:rsid w:val="00F528AC"/>
    <w:rsid w:val="00F565CA"/>
    <w:rsid w:val="00F67507"/>
    <w:rsid w:val="00F93263"/>
    <w:rsid w:val="00F96DE6"/>
    <w:rsid w:val="00FA4DFF"/>
    <w:rsid w:val="00FB3EF8"/>
    <w:rsid w:val="00FC30EF"/>
    <w:rsid w:val="00FF3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8643E"/>
  <w15:chartTrackingRefBased/>
  <w15:docId w15:val="{2F2C98BA-0D9A-FB48-A4B4-5FCF2538E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151B"/>
    <w:pPr>
      <w:spacing w:after="160" w:line="259" w:lineRule="auto"/>
    </w:pPr>
    <w:rPr>
      <w:rFonts w:ascii="Times New Roman" w:hAnsi="Times New Roman"/>
      <w:szCs w:val="22"/>
      <w:lang w:val="el-GR"/>
    </w:rPr>
  </w:style>
  <w:style w:type="paragraph" w:styleId="1">
    <w:name w:val="heading 1"/>
    <w:basedOn w:val="a"/>
    <w:next w:val="a"/>
    <w:link w:val="1Char"/>
    <w:autoRedefine/>
    <w:uiPriority w:val="9"/>
    <w:qFormat/>
    <w:rsid w:val="001358B2"/>
    <w:pPr>
      <w:keepNext/>
      <w:keepLines/>
      <w:spacing w:before="240" w:after="120" w:line="360" w:lineRule="auto"/>
      <w:jc w:val="both"/>
      <w:outlineLvl w:val="0"/>
    </w:pPr>
    <w:rPr>
      <w:rFonts w:eastAsia="Times New Roman" w:cs="Times New Roman"/>
      <w:b/>
      <w:bCs/>
      <w:color w:val="000000" w:themeColor="text1"/>
      <w:kern w:val="0"/>
      <w:sz w:val="28"/>
      <w:szCs w:val="28"/>
      <w14:ligatures w14:val="none"/>
    </w:rPr>
  </w:style>
  <w:style w:type="paragraph" w:styleId="2">
    <w:name w:val="heading 2"/>
    <w:basedOn w:val="a"/>
    <w:next w:val="a"/>
    <w:link w:val="2Char"/>
    <w:uiPriority w:val="9"/>
    <w:unhideWhenUsed/>
    <w:qFormat/>
    <w:rsid w:val="00CB30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Char"/>
    <w:uiPriority w:val="9"/>
    <w:qFormat/>
    <w:rsid w:val="00B802E2"/>
    <w:pPr>
      <w:spacing w:before="100" w:beforeAutospacing="1" w:after="100" w:afterAutospacing="1" w:line="240" w:lineRule="auto"/>
      <w:outlineLvl w:val="2"/>
    </w:pPr>
    <w:rPr>
      <w:rFonts w:eastAsia="Times New Roman" w:cs="Times New Roman"/>
      <w:b/>
      <w:bCs/>
      <w:kern w:val="0"/>
      <w:sz w:val="27"/>
      <w:szCs w:val="27"/>
      <w14:ligatures w14:val="none"/>
    </w:rPr>
  </w:style>
  <w:style w:type="paragraph" w:styleId="4">
    <w:name w:val="heading 4"/>
    <w:basedOn w:val="a"/>
    <w:next w:val="a"/>
    <w:link w:val="4Char"/>
    <w:uiPriority w:val="9"/>
    <w:semiHidden/>
    <w:unhideWhenUsed/>
    <w:qFormat/>
    <w:rsid w:val="00C136D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358B2"/>
    <w:rPr>
      <w:rFonts w:ascii="Times New Roman" w:eastAsia="Times New Roman" w:hAnsi="Times New Roman" w:cs="Times New Roman"/>
      <w:b/>
      <w:bCs/>
      <w:color w:val="000000" w:themeColor="text1"/>
      <w:kern w:val="0"/>
      <w:sz w:val="28"/>
      <w:szCs w:val="28"/>
      <w:lang w:val="el-GR"/>
      <w14:ligatures w14:val="none"/>
    </w:rPr>
  </w:style>
  <w:style w:type="paragraph" w:styleId="a3">
    <w:name w:val="No Spacing"/>
    <w:autoRedefine/>
    <w:uiPriority w:val="1"/>
    <w:qFormat/>
    <w:rsid w:val="0002151B"/>
    <w:rPr>
      <w:rFonts w:ascii="Times New Roman" w:hAnsi="Times New Roman"/>
      <w:b/>
      <w:szCs w:val="22"/>
      <w:lang w:val="el-GR"/>
    </w:rPr>
  </w:style>
  <w:style w:type="character" w:customStyle="1" w:styleId="3Char">
    <w:name w:val="Επικεφαλίδα 3 Char"/>
    <w:basedOn w:val="a0"/>
    <w:link w:val="3"/>
    <w:uiPriority w:val="9"/>
    <w:rsid w:val="00B802E2"/>
    <w:rPr>
      <w:rFonts w:ascii="Times New Roman" w:eastAsia="Times New Roman" w:hAnsi="Times New Roman" w:cs="Times New Roman"/>
      <w:b/>
      <w:bCs/>
      <w:kern w:val="0"/>
      <w:sz w:val="27"/>
      <w:szCs w:val="27"/>
      <w14:ligatures w14:val="none"/>
    </w:rPr>
  </w:style>
  <w:style w:type="paragraph" w:styleId="Web">
    <w:name w:val="Normal (Web)"/>
    <w:basedOn w:val="a"/>
    <w:uiPriority w:val="99"/>
    <w:unhideWhenUsed/>
    <w:rsid w:val="00B802E2"/>
    <w:pPr>
      <w:spacing w:before="100" w:beforeAutospacing="1" w:after="100" w:afterAutospacing="1" w:line="240" w:lineRule="auto"/>
    </w:pPr>
    <w:rPr>
      <w:rFonts w:eastAsia="Times New Roman" w:cs="Times New Roman"/>
      <w:kern w:val="0"/>
      <w:szCs w:val="24"/>
      <w14:ligatures w14:val="none"/>
    </w:rPr>
  </w:style>
  <w:style w:type="character" w:styleId="a4">
    <w:name w:val="Strong"/>
    <w:basedOn w:val="a0"/>
    <w:uiPriority w:val="22"/>
    <w:qFormat/>
    <w:rsid w:val="00B802E2"/>
    <w:rPr>
      <w:b/>
      <w:bCs/>
    </w:rPr>
  </w:style>
  <w:style w:type="character" w:customStyle="1" w:styleId="4Char">
    <w:name w:val="Επικεφαλίδα 4 Char"/>
    <w:basedOn w:val="a0"/>
    <w:link w:val="4"/>
    <w:uiPriority w:val="9"/>
    <w:semiHidden/>
    <w:rsid w:val="00C136D6"/>
    <w:rPr>
      <w:rFonts w:asciiTheme="majorHAnsi" w:eastAsiaTheme="majorEastAsia" w:hAnsiTheme="majorHAnsi" w:cstheme="majorBidi"/>
      <w:i/>
      <w:iCs/>
      <w:color w:val="2F5496" w:themeColor="accent1" w:themeShade="BF"/>
      <w:szCs w:val="22"/>
      <w:lang w:val="el-GR"/>
    </w:rPr>
  </w:style>
  <w:style w:type="character" w:styleId="a5">
    <w:name w:val="Emphasis"/>
    <w:basedOn w:val="a0"/>
    <w:uiPriority w:val="20"/>
    <w:qFormat/>
    <w:rsid w:val="00C45956"/>
    <w:rPr>
      <w:i/>
      <w:iCs/>
    </w:rPr>
  </w:style>
  <w:style w:type="character" w:styleId="-">
    <w:name w:val="Hyperlink"/>
    <w:basedOn w:val="a0"/>
    <w:uiPriority w:val="99"/>
    <w:unhideWhenUsed/>
    <w:rsid w:val="00FB3EF8"/>
    <w:rPr>
      <w:color w:val="0563C1" w:themeColor="hyperlink"/>
      <w:u w:val="single"/>
    </w:rPr>
  </w:style>
  <w:style w:type="paragraph" w:styleId="a6">
    <w:name w:val="TOC Heading"/>
    <w:basedOn w:val="1"/>
    <w:next w:val="a"/>
    <w:uiPriority w:val="39"/>
    <w:unhideWhenUsed/>
    <w:qFormat/>
    <w:rsid w:val="00CD13AD"/>
    <w:pPr>
      <w:spacing w:before="480" w:after="0" w:line="276" w:lineRule="auto"/>
      <w:outlineLvl w:val="9"/>
    </w:pPr>
    <w:rPr>
      <w:rFonts w:asciiTheme="majorHAnsi" w:hAnsiTheme="majorHAnsi"/>
      <w:color w:val="2F5496" w:themeColor="accent1" w:themeShade="BF"/>
      <w:lang w:val="en-US"/>
    </w:rPr>
  </w:style>
  <w:style w:type="paragraph" w:styleId="10">
    <w:name w:val="toc 1"/>
    <w:basedOn w:val="a"/>
    <w:next w:val="a"/>
    <w:autoRedefine/>
    <w:uiPriority w:val="39"/>
    <w:unhideWhenUsed/>
    <w:rsid w:val="00CD13AD"/>
    <w:pPr>
      <w:spacing w:before="120" w:after="0"/>
    </w:pPr>
    <w:rPr>
      <w:rFonts w:asciiTheme="minorHAnsi" w:hAnsiTheme="minorHAnsi" w:cstheme="minorHAnsi"/>
      <w:b/>
      <w:bCs/>
      <w:i/>
      <w:iCs/>
      <w:szCs w:val="24"/>
    </w:rPr>
  </w:style>
  <w:style w:type="paragraph" w:styleId="20">
    <w:name w:val="toc 2"/>
    <w:basedOn w:val="a"/>
    <w:next w:val="a"/>
    <w:autoRedefine/>
    <w:uiPriority w:val="39"/>
    <w:unhideWhenUsed/>
    <w:rsid w:val="00CD13AD"/>
    <w:pPr>
      <w:spacing w:before="120" w:after="0"/>
      <w:ind w:left="240"/>
    </w:pPr>
    <w:rPr>
      <w:rFonts w:asciiTheme="minorHAnsi" w:hAnsiTheme="minorHAnsi" w:cstheme="minorHAnsi"/>
      <w:b/>
      <w:bCs/>
      <w:sz w:val="22"/>
    </w:rPr>
  </w:style>
  <w:style w:type="paragraph" w:styleId="30">
    <w:name w:val="toc 3"/>
    <w:basedOn w:val="a"/>
    <w:next w:val="a"/>
    <w:autoRedefine/>
    <w:uiPriority w:val="39"/>
    <w:semiHidden/>
    <w:unhideWhenUsed/>
    <w:rsid w:val="00CD13AD"/>
    <w:pPr>
      <w:spacing w:after="0"/>
      <w:ind w:left="480"/>
    </w:pPr>
    <w:rPr>
      <w:rFonts w:asciiTheme="minorHAnsi" w:hAnsiTheme="minorHAnsi" w:cstheme="minorHAnsi"/>
      <w:sz w:val="20"/>
      <w:szCs w:val="20"/>
    </w:rPr>
  </w:style>
  <w:style w:type="paragraph" w:styleId="40">
    <w:name w:val="toc 4"/>
    <w:basedOn w:val="a"/>
    <w:next w:val="a"/>
    <w:autoRedefine/>
    <w:uiPriority w:val="39"/>
    <w:semiHidden/>
    <w:unhideWhenUsed/>
    <w:rsid w:val="00CD13AD"/>
    <w:pPr>
      <w:spacing w:after="0"/>
      <w:ind w:left="720"/>
    </w:pPr>
    <w:rPr>
      <w:rFonts w:asciiTheme="minorHAnsi" w:hAnsiTheme="minorHAnsi" w:cstheme="minorHAnsi"/>
      <w:sz w:val="20"/>
      <w:szCs w:val="20"/>
    </w:rPr>
  </w:style>
  <w:style w:type="paragraph" w:styleId="5">
    <w:name w:val="toc 5"/>
    <w:basedOn w:val="a"/>
    <w:next w:val="a"/>
    <w:autoRedefine/>
    <w:uiPriority w:val="39"/>
    <w:semiHidden/>
    <w:unhideWhenUsed/>
    <w:rsid w:val="00CD13AD"/>
    <w:pPr>
      <w:spacing w:after="0"/>
      <w:ind w:left="960"/>
    </w:pPr>
    <w:rPr>
      <w:rFonts w:asciiTheme="minorHAnsi" w:hAnsiTheme="minorHAnsi" w:cstheme="minorHAnsi"/>
      <w:sz w:val="20"/>
      <w:szCs w:val="20"/>
    </w:rPr>
  </w:style>
  <w:style w:type="paragraph" w:styleId="6">
    <w:name w:val="toc 6"/>
    <w:basedOn w:val="a"/>
    <w:next w:val="a"/>
    <w:autoRedefine/>
    <w:uiPriority w:val="39"/>
    <w:semiHidden/>
    <w:unhideWhenUsed/>
    <w:rsid w:val="00CD13AD"/>
    <w:pPr>
      <w:spacing w:after="0"/>
      <w:ind w:left="1200"/>
    </w:pPr>
    <w:rPr>
      <w:rFonts w:asciiTheme="minorHAnsi" w:hAnsiTheme="minorHAnsi" w:cstheme="minorHAnsi"/>
      <w:sz w:val="20"/>
      <w:szCs w:val="20"/>
    </w:rPr>
  </w:style>
  <w:style w:type="paragraph" w:styleId="7">
    <w:name w:val="toc 7"/>
    <w:basedOn w:val="a"/>
    <w:next w:val="a"/>
    <w:autoRedefine/>
    <w:uiPriority w:val="39"/>
    <w:semiHidden/>
    <w:unhideWhenUsed/>
    <w:rsid w:val="00CD13AD"/>
    <w:pPr>
      <w:spacing w:after="0"/>
      <w:ind w:left="1440"/>
    </w:pPr>
    <w:rPr>
      <w:rFonts w:asciiTheme="minorHAnsi" w:hAnsiTheme="minorHAnsi" w:cstheme="minorHAnsi"/>
      <w:sz w:val="20"/>
      <w:szCs w:val="20"/>
    </w:rPr>
  </w:style>
  <w:style w:type="paragraph" w:styleId="8">
    <w:name w:val="toc 8"/>
    <w:basedOn w:val="a"/>
    <w:next w:val="a"/>
    <w:autoRedefine/>
    <w:uiPriority w:val="39"/>
    <w:semiHidden/>
    <w:unhideWhenUsed/>
    <w:rsid w:val="00CD13AD"/>
    <w:pPr>
      <w:spacing w:after="0"/>
      <w:ind w:left="1680"/>
    </w:pPr>
    <w:rPr>
      <w:rFonts w:asciiTheme="minorHAnsi" w:hAnsiTheme="minorHAnsi" w:cstheme="minorHAnsi"/>
      <w:sz w:val="20"/>
      <w:szCs w:val="20"/>
    </w:rPr>
  </w:style>
  <w:style w:type="paragraph" w:styleId="9">
    <w:name w:val="toc 9"/>
    <w:basedOn w:val="a"/>
    <w:next w:val="a"/>
    <w:autoRedefine/>
    <w:uiPriority w:val="39"/>
    <w:semiHidden/>
    <w:unhideWhenUsed/>
    <w:rsid w:val="00CD13AD"/>
    <w:pPr>
      <w:spacing w:after="0"/>
      <w:ind w:left="1920"/>
    </w:pPr>
    <w:rPr>
      <w:rFonts w:asciiTheme="minorHAnsi" w:hAnsiTheme="minorHAnsi" w:cstheme="minorHAnsi"/>
      <w:sz w:val="20"/>
      <w:szCs w:val="20"/>
    </w:rPr>
  </w:style>
  <w:style w:type="paragraph" w:styleId="a7">
    <w:name w:val="footer"/>
    <w:basedOn w:val="a"/>
    <w:link w:val="Char"/>
    <w:uiPriority w:val="99"/>
    <w:unhideWhenUsed/>
    <w:rsid w:val="00C52CFB"/>
    <w:pPr>
      <w:tabs>
        <w:tab w:val="center" w:pos="4680"/>
        <w:tab w:val="right" w:pos="9360"/>
      </w:tabs>
      <w:spacing w:after="0" w:line="240" w:lineRule="auto"/>
    </w:pPr>
  </w:style>
  <w:style w:type="character" w:customStyle="1" w:styleId="Char">
    <w:name w:val="Υποσέλιδο Char"/>
    <w:basedOn w:val="a0"/>
    <w:link w:val="a7"/>
    <w:uiPriority w:val="99"/>
    <w:rsid w:val="00C52CFB"/>
    <w:rPr>
      <w:rFonts w:ascii="Times New Roman" w:hAnsi="Times New Roman"/>
      <w:szCs w:val="22"/>
      <w:lang w:val="el-GR"/>
    </w:rPr>
  </w:style>
  <w:style w:type="character" w:styleId="a8">
    <w:name w:val="page number"/>
    <w:basedOn w:val="a0"/>
    <w:uiPriority w:val="99"/>
    <w:semiHidden/>
    <w:unhideWhenUsed/>
    <w:rsid w:val="00C52CFB"/>
  </w:style>
  <w:style w:type="character" w:customStyle="1" w:styleId="2Char">
    <w:name w:val="Επικεφαλίδα 2 Char"/>
    <w:basedOn w:val="a0"/>
    <w:link w:val="2"/>
    <w:uiPriority w:val="9"/>
    <w:rsid w:val="00CB30B3"/>
    <w:rPr>
      <w:rFonts w:asciiTheme="majorHAnsi" w:eastAsiaTheme="majorEastAsia" w:hAnsiTheme="majorHAnsi" w:cstheme="majorBidi"/>
      <w:color w:val="2F5496" w:themeColor="accent1" w:themeShade="BF"/>
      <w:sz w:val="26"/>
      <w:szCs w:val="26"/>
      <w:lang w:val="el-GR"/>
    </w:rPr>
  </w:style>
  <w:style w:type="character" w:customStyle="1" w:styleId="UnresolvedMention1">
    <w:name w:val="Unresolved Mention1"/>
    <w:basedOn w:val="a0"/>
    <w:uiPriority w:val="99"/>
    <w:semiHidden/>
    <w:unhideWhenUsed/>
    <w:rsid w:val="00D441B6"/>
    <w:rPr>
      <w:color w:val="605E5C"/>
      <w:shd w:val="clear" w:color="auto" w:fill="E1DFDD"/>
    </w:rPr>
  </w:style>
  <w:style w:type="paragraph" w:styleId="a9">
    <w:name w:val="header"/>
    <w:aliases w:val="hd"/>
    <w:basedOn w:val="a"/>
    <w:link w:val="Char0"/>
    <w:uiPriority w:val="99"/>
    <w:rsid w:val="009A3F91"/>
    <w:pPr>
      <w:tabs>
        <w:tab w:val="center" w:pos="4153"/>
        <w:tab w:val="right" w:pos="8306"/>
      </w:tabs>
      <w:spacing w:after="0" w:line="240" w:lineRule="auto"/>
    </w:pPr>
    <w:rPr>
      <w:rFonts w:eastAsia="Times New Roman" w:cs="Times New Roman"/>
      <w:kern w:val="0"/>
      <w:szCs w:val="24"/>
      <w:lang w:eastAsia="el-GR"/>
      <w14:ligatures w14:val="none"/>
    </w:rPr>
  </w:style>
  <w:style w:type="character" w:customStyle="1" w:styleId="Char0">
    <w:name w:val="Κεφαλίδα Char"/>
    <w:aliases w:val="hd Char"/>
    <w:basedOn w:val="a0"/>
    <w:link w:val="a9"/>
    <w:uiPriority w:val="99"/>
    <w:rsid w:val="009A3F91"/>
    <w:rPr>
      <w:rFonts w:ascii="Times New Roman" w:eastAsia="Times New Roman" w:hAnsi="Times New Roman" w:cs="Times New Roman"/>
      <w:kern w:val="0"/>
      <w:lang w:val="el-GR" w:eastAsia="el-GR"/>
      <w14:ligatures w14:val="none"/>
    </w:rPr>
  </w:style>
  <w:style w:type="character" w:styleId="aa">
    <w:name w:val="annotation reference"/>
    <w:basedOn w:val="a0"/>
    <w:uiPriority w:val="99"/>
    <w:semiHidden/>
    <w:unhideWhenUsed/>
    <w:rsid w:val="000052A0"/>
    <w:rPr>
      <w:sz w:val="16"/>
      <w:szCs w:val="16"/>
    </w:rPr>
  </w:style>
  <w:style w:type="paragraph" w:styleId="ab">
    <w:name w:val="annotation text"/>
    <w:basedOn w:val="a"/>
    <w:link w:val="Char1"/>
    <w:uiPriority w:val="99"/>
    <w:unhideWhenUsed/>
    <w:rsid w:val="000052A0"/>
    <w:pPr>
      <w:spacing w:line="240" w:lineRule="auto"/>
    </w:pPr>
    <w:rPr>
      <w:sz w:val="20"/>
      <w:szCs w:val="20"/>
    </w:rPr>
  </w:style>
  <w:style w:type="character" w:customStyle="1" w:styleId="Char1">
    <w:name w:val="Κείμενο σχολίου Char"/>
    <w:basedOn w:val="a0"/>
    <w:link w:val="ab"/>
    <w:uiPriority w:val="99"/>
    <w:rsid w:val="000052A0"/>
    <w:rPr>
      <w:rFonts w:ascii="Times New Roman" w:hAnsi="Times New Roman"/>
      <w:sz w:val="20"/>
      <w:szCs w:val="20"/>
      <w:lang w:val="el-GR"/>
    </w:rPr>
  </w:style>
  <w:style w:type="paragraph" w:styleId="ac">
    <w:name w:val="annotation subject"/>
    <w:basedOn w:val="ab"/>
    <w:next w:val="ab"/>
    <w:link w:val="Char2"/>
    <w:uiPriority w:val="99"/>
    <w:semiHidden/>
    <w:unhideWhenUsed/>
    <w:rsid w:val="000052A0"/>
    <w:rPr>
      <w:b/>
      <w:bCs/>
    </w:rPr>
  </w:style>
  <w:style w:type="character" w:customStyle="1" w:styleId="Char2">
    <w:name w:val="Θέμα σχολίου Char"/>
    <w:basedOn w:val="Char1"/>
    <w:link w:val="ac"/>
    <w:uiPriority w:val="99"/>
    <w:semiHidden/>
    <w:rsid w:val="000052A0"/>
    <w:rPr>
      <w:rFonts w:ascii="Times New Roman" w:hAnsi="Times New Roman"/>
      <w:b/>
      <w:bCs/>
      <w:sz w:val="20"/>
      <w:szCs w:val="20"/>
      <w:lang w:val="el-GR"/>
    </w:rPr>
  </w:style>
  <w:style w:type="paragraph" w:styleId="ad">
    <w:name w:val="Revision"/>
    <w:hidden/>
    <w:uiPriority w:val="99"/>
    <w:semiHidden/>
    <w:rsid w:val="00DC0F5E"/>
    <w:rPr>
      <w:rFonts w:ascii="Times New Roman" w:hAnsi="Times New Roman"/>
      <w:szCs w:val="22"/>
      <w:lang w:val="el-GR"/>
    </w:rPr>
  </w:style>
  <w:style w:type="character" w:styleId="ae">
    <w:name w:val="Unresolved Mention"/>
    <w:basedOn w:val="a0"/>
    <w:uiPriority w:val="99"/>
    <w:semiHidden/>
    <w:unhideWhenUsed/>
    <w:rsid w:val="001F6D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93397">
      <w:bodyDiv w:val="1"/>
      <w:marLeft w:val="0"/>
      <w:marRight w:val="0"/>
      <w:marTop w:val="0"/>
      <w:marBottom w:val="0"/>
      <w:divBdr>
        <w:top w:val="none" w:sz="0" w:space="0" w:color="auto"/>
        <w:left w:val="none" w:sz="0" w:space="0" w:color="auto"/>
        <w:bottom w:val="none" w:sz="0" w:space="0" w:color="auto"/>
        <w:right w:val="none" w:sz="0" w:space="0" w:color="auto"/>
      </w:divBdr>
    </w:div>
    <w:div w:id="236286600">
      <w:bodyDiv w:val="1"/>
      <w:marLeft w:val="0"/>
      <w:marRight w:val="0"/>
      <w:marTop w:val="0"/>
      <w:marBottom w:val="0"/>
      <w:divBdr>
        <w:top w:val="none" w:sz="0" w:space="0" w:color="auto"/>
        <w:left w:val="none" w:sz="0" w:space="0" w:color="auto"/>
        <w:bottom w:val="none" w:sz="0" w:space="0" w:color="auto"/>
        <w:right w:val="none" w:sz="0" w:space="0" w:color="auto"/>
      </w:divBdr>
    </w:div>
    <w:div w:id="266542156">
      <w:bodyDiv w:val="1"/>
      <w:marLeft w:val="0"/>
      <w:marRight w:val="0"/>
      <w:marTop w:val="0"/>
      <w:marBottom w:val="0"/>
      <w:divBdr>
        <w:top w:val="none" w:sz="0" w:space="0" w:color="auto"/>
        <w:left w:val="none" w:sz="0" w:space="0" w:color="auto"/>
        <w:bottom w:val="none" w:sz="0" w:space="0" w:color="auto"/>
        <w:right w:val="none" w:sz="0" w:space="0" w:color="auto"/>
      </w:divBdr>
    </w:div>
    <w:div w:id="294146847">
      <w:bodyDiv w:val="1"/>
      <w:marLeft w:val="0"/>
      <w:marRight w:val="0"/>
      <w:marTop w:val="0"/>
      <w:marBottom w:val="0"/>
      <w:divBdr>
        <w:top w:val="none" w:sz="0" w:space="0" w:color="auto"/>
        <w:left w:val="none" w:sz="0" w:space="0" w:color="auto"/>
        <w:bottom w:val="none" w:sz="0" w:space="0" w:color="auto"/>
        <w:right w:val="none" w:sz="0" w:space="0" w:color="auto"/>
      </w:divBdr>
    </w:div>
    <w:div w:id="341317982">
      <w:bodyDiv w:val="1"/>
      <w:marLeft w:val="0"/>
      <w:marRight w:val="0"/>
      <w:marTop w:val="0"/>
      <w:marBottom w:val="0"/>
      <w:divBdr>
        <w:top w:val="none" w:sz="0" w:space="0" w:color="auto"/>
        <w:left w:val="none" w:sz="0" w:space="0" w:color="auto"/>
        <w:bottom w:val="none" w:sz="0" w:space="0" w:color="auto"/>
        <w:right w:val="none" w:sz="0" w:space="0" w:color="auto"/>
      </w:divBdr>
    </w:div>
    <w:div w:id="366414698">
      <w:bodyDiv w:val="1"/>
      <w:marLeft w:val="0"/>
      <w:marRight w:val="0"/>
      <w:marTop w:val="0"/>
      <w:marBottom w:val="0"/>
      <w:divBdr>
        <w:top w:val="none" w:sz="0" w:space="0" w:color="auto"/>
        <w:left w:val="none" w:sz="0" w:space="0" w:color="auto"/>
        <w:bottom w:val="none" w:sz="0" w:space="0" w:color="auto"/>
        <w:right w:val="none" w:sz="0" w:space="0" w:color="auto"/>
      </w:divBdr>
    </w:div>
    <w:div w:id="391394959">
      <w:bodyDiv w:val="1"/>
      <w:marLeft w:val="0"/>
      <w:marRight w:val="0"/>
      <w:marTop w:val="0"/>
      <w:marBottom w:val="0"/>
      <w:divBdr>
        <w:top w:val="none" w:sz="0" w:space="0" w:color="auto"/>
        <w:left w:val="none" w:sz="0" w:space="0" w:color="auto"/>
        <w:bottom w:val="none" w:sz="0" w:space="0" w:color="auto"/>
        <w:right w:val="none" w:sz="0" w:space="0" w:color="auto"/>
      </w:divBdr>
    </w:div>
    <w:div w:id="469783961">
      <w:bodyDiv w:val="1"/>
      <w:marLeft w:val="0"/>
      <w:marRight w:val="0"/>
      <w:marTop w:val="0"/>
      <w:marBottom w:val="0"/>
      <w:divBdr>
        <w:top w:val="none" w:sz="0" w:space="0" w:color="auto"/>
        <w:left w:val="none" w:sz="0" w:space="0" w:color="auto"/>
        <w:bottom w:val="none" w:sz="0" w:space="0" w:color="auto"/>
        <w:right w:val="none" w:sz="0" w:space="0" w:color="auto"/>
      </w:divBdr>
    </w:div>
    <w:div w:id="609166026">
      <w:bodyDiv w:val="1"/>
      <w:marLeft w:val="0"/>
      <w:marRight w:val="0"/>
      <w:marTop w:val="0"/>
      <w:marBottom w:val="0"/>
      <w:divBdr>
        <w:top w:val="none" w:sz="0" w:space="0" w:color="auto"/>
        <w:left w:val="none" w:sz="0" w:space="0" w:color="auto"/>
        <w:bottom w:val="none" w:sz="0" w:space="0" w:color="auto"/>
        <w:right w:val="none" w:sz="0" w:space="0" w:color="auto"/>
      </w:divBdr>
    </w:div>
    <w:div w:id="662899115">
      <w:bodyDiv w:val="1"/>
      <w:marLeft w:val="0"/>
      <w:marRight w:val="0"/>
      <w:marTop w:val="0"/>
      <w:marBottom w:val="0"/>
      <w:divBdr>
        <w:top w:val="none" w:sz="0" w:space="0" w:color="auto"/>
        <w:left w:val="none" w:sz="0" w:space="0" w:color="auto"/>
        <w:bottom w:val="none" w:sz="0" w:space="0" w:color="auto"/>
        <w:right w:val="none" w:sz="0" w:space="0" w:color="auto"/>
      </w:divBdr>
    </w:div>
    <w:div w:id="674117254">
      <w:bodyDiv w:val="1"/>
      <w:marLeft w:val="0"/>
      <w:marRight w:val="0"/>
      <w:marTop w:val="0"/>
      <w:marBottom w:val="0"/>
      <w:divBdr>
        <w:top w:val="none" w:sz="0" w:space="0" w:color="auto"/>
        <w:left w:val="none" w:sz="0" w:space="0" w:color="auto"/>
        <w:bottom w:val="none" w:sz="0" w:space="0" w:color="auto"/>
        <w:right w:val="none" w:sz="0" w:space="0" w:color="auto"/>
      </w:divBdr>
    </w:div>
    <w:div w:id="729114325">
      <w:bodyDiv w:val="1"/>
      <w:marLeft w:val="0"/>
      <w:marRight w:val="0"/>
      <w:marTop w:val="0"/>
      <w:marBottom w:val="0"/>
      <w:divBdr>
        <w:top w:val="none" w:sz="0" w:space="0" w:color="auto"/>
        <w:left w:val="none" w:sz="0" w:space="0" w:color="auto"/>
        <w:bottom w:val="none" w:sz="0" w:space="0" w:color="auto"/>
        <w:right w:val="none" w:sz="0" w:space="0" w:color="auto"/>
      </w:divBdr>
    </w:div>
    <w:div w:id="854419077">
      <w:bodyDiv w:val="1"/>
      <w:marLeft w:val="0"/>
      <w:marRight w:val="0"/>
      <w:marTop w:val="0"/>
      <w:marBottom w:val="0"/>
      <w:divBdr>
        <w:top w:val="none" w:sz="0" w:space="0" w:color="auto"/>
        <w:left w:val="none" w:sz="0" w:space="0" w:color="auto"/>
        <w:bottom w:val="none" w:sz="0" w:space="0" w:color="auto"/>
        <w:right w:val="none" w:sz="0" w:space="0" w:color="auto"/>
      </w:divBdr>
    </w:div>
    <w:div w:id="863009683">
      <w:bodyDiv w:val="1"/>
      <w:marLeft w:val="0"/>
      <w:marRight w:val="0"/>
      <w:marTop w:val="0"/>
      <w:marBottom w:val="0"/>
      <w:divBdr>
        <w:top w:val="none" w:sz="0" w:space="0" w:color="auto"/>
        <w:left w:val="none" w:sz="0" w:space="0" w:color="auto"/>
        <w:bottom w:val="none" w:sz="0" w:space="0" w:color="auto"/>
        <w:right w:val="none" w:sz="0" w:space="0" w:color="auto"/>
      </w:divBdr>
    </w:div>
    <w:div w:id="901519621">
      <w:bodyDiv w:val="1"/>
      <w:marLeft w:val="0"/>
      <w:marRight w:val="0"/>
      <w:marTop w:val="0"/>
      <w:marBottom w:val="0"/>
      <w:divBdr>
        <w:top w:val="none" w:sz="0" w:space="0" w:color="auto"/>
        <w:left w:val="none" w:sz="0" w:space="0" w:color="auto"/>
        <w:bottom w:val="none" w:sz="0" w:space="0" w:color="auto"/>
        <w:right w:val="none" w:sz="0" w:space="0" w:color="auto"/>
      </w:divBdr>
    </w:div>
    <w:div w:id="928777994">
      <w:bodyDiv w:val="1"/>
      <w:marLeft w:val="0"/>
      <w:marRight w:val="0"/>
      <w:marTop w:val="0"/>
      <w:marBottom w:val="0"/>
      <w:divBdr>
        <w:top w:val="none" w:sz="0" w:space="0" w:color="auto"/>
        <w:left w:val="none" w:sz="0" w:space="0" w:color="auto"/>
        <w:bottom w:val="none" w:sz="0" w:space="0" w:color="auto"/>
        <w:right w:val="none" w:sz="0" w:space="0" w:color="auto"/>
      </w:divBdr>
    </w:div>
    <w:div w:id="935090211">
      <w:bodyDiv w:val="1"/>
      <w:marLeft w:val="0"/>
      <w:marRight w:val="0"/>
      <w:marTop w:val="0"/>
      <w:marBottom w:val="0"/>
      <w:divBdr>
        <w:top w:val="none" w:sz="0" w:space="0" w:color="auto"/>
        <w:left w:val="none" w:sz="0" w:space="0" w:color="auto"/>
        <w:bottom w:val="none" w:sz="0" w:space="0" w:color="auto"/>
        <w:right w:val="none" w:sz="0" w:space="0" w:color="auto"/>
      </w:divBdr>
    </w:div>
    <w:div w:id="993219982">
      <w:bodyDiv w:val="1"/>
      <w:marLeft w:val="0"/>
      <w:marRight w:val="0"/>
      <w:marTop w:val="0"/>
      <w:marBottom w:val="0"/>
      <w:divBdr>
        <w:top w:val="none" w:sz="0" w:space="0" w:color="auto"/>
        <w:left w:val="none" w:sz="0" w:space="0" w:color="auto"/>
        <w:bottom w:val="none" w:sz="0" w:space="0" w:color="auto"/>
        <w:right w:val="none" w:sz="0" w:space="0" w:color="auto"/>
      </w:divBdr>
    </w:div>
    <w:div w:id="1028484717">
      <w:bodyDiv w:val="1"/>
      <w:marLeft w:val="0"/>
      <w:marRight w:val="0"/>
      <w:marTop w:val="0"/>
      <w:marBottom w:val="0"/>
      <w:divBdr>
        <w:top w:val="none" w:sz="0" w:space="0" w:color="auto"/>
        <w:left w:val="none" w:sz="0" w:space="0" w:color="auto"/>
        <w:bottom w:val="none" w:sz="0" w:space="0" w:color="auto"/>
        <w:right w:val="none" w:sz="0" w:space="0" w:color="auto"/>
      </w:divBdr>
    </w:div>
    <w:div w:id="1053845263">
      <w:bodyDiv w:val="1"/>
      <w:marLeft w:val="0"/>
      <w:marRight w:val="0"/>
      <w:marTop w:val="0"/>
      <w:marBottom w:val="0"/>
      <w:divBdr>
        <w:top w:val="none" w:sz="0" w:space="0" w:color="auto"/>
        <w:left w:val="none" w:sz="0" w:space="0" w:color="auto"/>
        <w:bottom w:val="none" w:sz="0" w:space="0" w:color="auto"/>
        <w:right w:val="none" w:sz="0" w:space="0" w:color="auto"/>
      </w:divBdr>
    </w:div>
    <w:div w:id="1076439116">
      <w:bodyDiv w:val="1"/>
      <w:marLeft w:val="0"/>
      <w:marRight w:val="0"/>
      <w:marTop w:val="0"/>
      <w:marBottom w:val="0"/>
      <w:divBdr>
        <w:top w:val="none" w:sz="0" w:space="0" w:color="auto"/>
        <w:left w:val="none" w:sz="0" w:space="0" w:color="auto"/>
        <w:bottom w:val="none" w:sz="0" w:space="0" w:color="auto"/>
        <w:right w:val="none" w:sz="0" w:space="0" w:color="auto"/>
      </w:divBdr>
    </w:div>
    <w:div w:id="1310094803">
      <w:bodyDiv w:val="1"/>
      <w:marLeft w:val="0"/>
      <w:marRight w:val="0"/>
      <w:marTop w:val="0"/>
      <w:marBottom w:val="0"/>
      <w:divBdr>
        <w:top w:val="none" w:sz="0" w:space="0" w:color="auto"/>
        <w:left w:val="none" w:sz="0" w:space="0" w:color="auto"/>
        <w:bottom w:val="none" w:sz="0" w:space="0" w:color="auto"/>
        <w:right w:val="none" w:sz="0" w:space="0" w:color="auto"/>
      </w:divBdr>
    </w:div>
    <w:div w:id="1411266891">
      <w:bodyDiv w:val="1"/>
      <w:marLeft w:val="0"/>
      <w:marRight w:val="0"/>
      <w:marTop w:val="0"/>
      <w:marBottom w:val="0"/>
      <w:divBdr>
        <w:top w:val="none" w:sz="0" w:space="0" w:color="auto"/>
        <w:left w:val="none" w:sz="0" w:space="0" w:color="auto"/>
        <w:bottom w:val="none" w:sz="0" w:space="0" w:color="auto"/>
        <w:right w:val="none" w:sz="0" w:space="0" w:color="auto"/>
      </w:divBdr>
    </w:div>
    <w:div w:id="1434740585">
      <w:bodyDiv w:val="1"/>
      <w:marLeft w:val="0"/>
      <w:marRight w:val="0"/>
      <w:marTop w:val="0"/>
      <w:marBottom w:val="0"/>
      <w:divBdr>
        <w:top w:val="none" w:sz="0" w:space="0" w:color="auto"/>
        <w:left w:val="none" w:sz="0" w:space="0" w:color="auto"/>
        <w:bottom w:val="none" w:sz="0" w:space="0" w:color="auto"/>
        <w:right w:val="none" w:sz="0" w:space="0" w:color="auto"/>
      </w:divBdr>
    </w:div>
    <w:div w:id="1440183038">
      <w:bodyDiv w:val="1"/>
      <w:marLeft w:val="0"/>
      <w:marRight w:val="0"/>
      <w:marTop w:val="0"/>
      <w:marBottom w:val="0"/>
      <w:divBdr>
        <w:top w:val="none" w:sz="0" w:space="0" w:color="auto"/>
        <w:left w:val="none" w:sz="0" w:space="0" w:color="auto"/>
        <w:bottom w:val="none" w:sz="0" w:space="0" w:color="auto"/>
        <w:right w:val="none" w:sz="0" w:space="0" w:color="auto"/>
      </w:divBdr>
    </w:div>
    <w:div w:id="1556114911">
      <w:bodyDiv w:val="1"/>
      <w:marLeft w:val="0"/>
      <w:marRight w:val="0"/>
      <w:marTop w:val="0"/>
      <w:marBottom w:val="0"/>
      <w:divBdr>
        <w:top w:val="none" w:sz="0" w:space="0" w:color="auto"/>
        <w:left w:val="none" w:sz="0" w:space="0" w:color="auto"/>
        <w:bottom w:val="none" w:sz="0" w:space="0" w:color="auto"/>
        <w:right w:val="none" w:sz="0" w:space="0" w:color="auto"/>
      </w:divBdr>
    </w:div>
    <w:div w:id="1571161568">
      <w:bodyDiv w:val="1"/>
      <w:marLeft w:val="0"/>
      <w:marRight w:val="0"/>
      <w:marTop w:val="0"/>
      <w:marBottom w:val="0"/>
      <w:divBdr>
        <w:top w:val="none" w:sz="0" w:space="0" w:color="auto"/>
        <w:left w:val="none" w:sz="0" w:space="0" w:color="auto"/>
        <w:bottom w:val="none" w:sz="0" w:space="0" w:color="auto"/>
        <w:right w:val="none" w:sz="0" w:space="0" w:color="auto"/>
      </w:divBdr>
    </w:div>
    <w:div w:id="1575358829">
      <w:bodyDiv w:val="1"/>
      <w:marLeft w:val="0"/>
      <w:marRight w:val="0"/>
      <w:marTop w:val="0"/>
      <w:marBottom w:val="0"/>
      <w:divBdr>
        <w:top w:val="none" w:sz="0" w:space="0" w:color="auto"/>
        <w:left w:val="none" w:sz="0" w:space="0" w:color="auto"/>
        <w:bottom w:val="none" w:sz="0" w:space="0" w:color="auto"/>
        <w:right w:val="none" w:sz="0" w:space="0" w:color="auto"/>
      </w:divBdr>
    </w:div>
    <w:div w:id="1647589638">
      <w:bodyDiv w:val="1"/>
      <w:marLeft w:val="0"/>
      <w:marRight w:val="0"/>
      <w:marTop w:val="0"/>
      <w:marBottom w:val="0"/>
      <w:divBdr>
        <w:top w:val="none" w:sz="0" w:space="0" w:color="auto"/>
        <w:left w:val="none" w:sz="0" w:space="0" w:color="auto"/>
        <w:bottom w:val="none" w:sz="0" w:space="0" w:color="auto"/>
        <w:right w:val="none" w:sz="0" w:space="0" w:color="auto"/>
      </w:divBdr>
    </w:div>
    <w:div w:id="1731541443">
      <w:bodyDiv w:val="1"/>
      <w:marLeft w:val="0"/>
      <w:marRight w:val="0"/>
      <w:marTop w:val="0"/>
      <w:marBottom w:val="0"/>
      <w:divBdr>
        <w:top w:val="none" w:sz="0" w:space="0" w:color="auto"/>
        <w:left w:val="none" w:sz="0" w:space="0" w:color="auto"/>
        <w:bottom w:val="none" w:sz="0" w:space="0" w:color="auto"/>
        <w:right w:val="none" w:sz="0" w:space="0" w:color="auto"/>
      </w:divBdr>
    </w:div>
    <w:div w:id="1738164543">
      <w:bodyDiv w:val="1"/>
      <w:marLeft w:val="0"/>
      <w:marRight w:val="0"/>
      <w:marTop w:val="0"/>
      <w:marBottom w:val="0"/>
      <w:divBdr>
        <w:top w:val="none" w:sz="0" w:space="0" w:color="auto"/>
        <w:left w:val="none" w:sz="0" w:space="0" w:color="auto"/>
        <w:bottom w:val="none" w:sz="0" w:space="0" w:color="auto"/>
        <w:right w:val="none" w:sz="0" w:space="0" w:color="auto"/>
      </w:divBdr>
    </w:div>
    <w:div w:id="1742483242">
      <w:bodyDiv w:val="1"/>
      <w:marLeft w:val="0"/>
      <w:marRight w:val="0"/>
      <w:marTop w:val="0"/>
      <w:marBottom w:val="0"/>
      <w:divBdr>
        <w:top w:val="none" w:sz="0" w:space="0" w:color="auto"/>
        <w:left w:val="none" w:sz="0" w:space="0" w:color="auto"/>
        <w:bottom w:val="none" w:sz="0" w:space="0" w:color="auto"/>
        <w:right w:val="none" w:sz="0" w:space="0" w:color="auto"/>
      </w:divBdr>
    </w:div>
    <w:div w:id="1835489227">
      <w:bodyDiv w:val="1"/>
      <w:marLeft w:val="0"/>
      <w:marRight w:val="0"/>
      <w:marTop w:val="0"/>
      <w:marBottom w:val="0"/>
      <w:divBdr>
        <w:top w:val="none" w:sz="0" w:space="0" w:color="auto"/>
        <w:left w:val="none" w:sz="0" w:space="0" w:color="auto"/>
        <w:bottom w:val="none" w:sz="0" w:space="0" w:color="auto"/>
        <w:right w:val="none" w:sz="0" w:space="0" w:color="auto"/>
      </w:divBdr>
    </w:div>
    <w:div w:id="2084063944">
      <w:bodyDiv w:val="1"/>
      <w:marLeft w:val="0"/>
      <w:marRight w:val="0"/>
      <w:marTop w:val="0"/>
      <w:marBottom w:val="0"/>
      <w:divBdr>
        <w:top w:val="none" w:sz="0" w:space="0" w:color="auto"/>
        <w:left w:val="none" w:sz="0" w:space="0" w:color="auto"/>
        <w:bottom w:val="none" w:sz="0" w:space="0" w:color="auto"/>
        <w:right w:val="none" w:sz="0" w:space="0" w:color="auto"/>
      </w:divBdr>
    </w:div>
    <w:div w:id="213267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11/25/contents?utm_source=chatgpt.com" TargetMode="External"/><Relationship Id="rId21" Type="http://schemas.openxmlformats.org/officeDocument/2006/relationships/hyperlink" Target="https://www.britishmuseum.org/sites/default/files/2025-07/Annual_Report_and_Accounts_2024-25.pdf?utm_source=chatgpt.com" TargetMode="External"/><Relationship Id="rId34" Type="http://schemas.openxmlformats.org/officeDocument/2006/relationships/hyperlink" Target="https://via.library.depaul.edu/jatip/vol6/iss1/2" TargetMode="External"/><Relationship Id="rId42" Type="http://schemas.openxmlformats.org/officeDocument/2006/relationships/hyperlink" Target="https://www.horniman.ac.uk/story/six-objects-to-return-to-nigeria-as-horniman-formally-transfers-ownership-of-benin-bronzes/?utm_source=chatgpt.com" TargetMode="External"/><Relationship Id="rId47" Type="http://schemas.openxmlformats.org/officeDocument/2006/relationships/hyperlink" Target="https://www.horniman.ac.uk/about-the-horniman/plans-policies-reporting/?utm_source=chatgpt.com" TargetMode="External"/><Relationship Id="rId50" Type="http://schemas.openxmlformats.org/officeDocument/2006/relationships/hyperlink" Target="https://www.in.gr/2010/11/10/culture/to-mitropolitko-moyseio-tis-neas-yorkis-epistrefei-stin-aigypto-19-antikeimena/" TargetMode="External"/><Relationship Id="rId55" Type="http://schemas.openxmlformats.org/officeDocument/2006/relationships/hyperlink" Target="https://doi.org/10.4000/reset.806" TargetMode="External"/><Relationship Id="rId63" Type="http://schemas.openxmlformats.org/officeDocument/2006/relationships/hyperlink" Target="https://www.kathimerini.gr/culture/363567/i-odysseia-toy-kratira-toy-eyfronioy-kai-to-italiko-paradeigma/"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heacropolismuseum.gr/en/press-releases?utm_source=chatgpt.com" TargetMode="External"/><Relationship Id="rId29" Type="http://schemas.openxmlformats.org/officeDocument/2006/relationships/hyperlink" Target="https://doi.org/10.26466/opusjsr.1096048" TargetMode="External"/><Relationship Id="rId11" Type="http://schemas.openxmlformats.org/officeDocument/2006/relationships/hyperlink" Target="https://www.theacropolismuseum.gr/en/exhibition-programs/permanent-reunification-fagan-fragment-acropolis-museum?utm_source=chatgpt.com" TargetMode="External"/><Relationship Id="rId24" Type="http://schemas.openxmlformats.org/officeDocument/2006/relationships/hyperlink" Target="https://www.britishmuseum.org/about-us/british-museum-story/contested-objects-collection/parthenon-sculptures/parthenon?utm_source=chatgpt.com" TargetMode="External"/><Relationship Id="rId32" Type="http://schemas.openxmlformats.org/officeDocument/2006/relationships/hyperlink" Target="https://doi.org/10.1080/09647779009515214" TargetMode="External"/><Relationship Id="rId37" Type="http://schemas.openxmlformats.org/officeDocument/2006/relationships/hyperlink" Target="https://www.e-nomothesia.gr/kat-arxaiotites/nomos-3711-2008-phek-224a-5-11-2008.html?utm_source=chatgpt.com" TargetMode="External"/><Relationship Id="rId40" Type="http://schemas.openxmlformats.org/officeDocument/2006/relationships/hyperlink" Target="https://www.horniman.ac.uk/story/frederick-hornimans-colonial-legacy/?utm_source=chatgpt.com" TargetMode="External"/><Relationship Id="rId45" Type="http://schemas.openxmlformats.org/officeDocument/2006/relationships/hyperlink" Target="https://www.horniman.ac.uk/people/nick-merriman/?utm_source=chatgpt.com" TargetMode="External"/><Relationship Id="rId53" Type="http://schemas.openxmlformats.org/officeDocument/2006/relationships/hyperlink" Target="https://doi.org/10.1017/S0940739105050046" TargetMode="External"/><Relationship Id="rId58" Type="http://schemas.openxmlformats.org/officeDocument/2006/relationships/hyperlink" Target="https://questions-statements.parliament.uk/written-questions/detail/2025-07-01/64203?utm_source=chatgpt.com"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hc.unesco.org/archive/opguide05-en.pdf" TargetMode="External"/><Relationship Id="rId19" Type="http://schemas.openxmlformats.org/officeDocument/2006/relationships/hyperlink" Target="https://doi.org/10.3316/QRJ0902027" TargetMode="External"/><Relationship Id="rId14" Type="http://schemas.openxmlformats.org/officeDocument/2006/relationships/hyperlink" Target="https://www.theacropolismuseum.gr/en/museum-history?utm_source=chatgpt.com" TargetMode="External"/><Relationship Id="rId22" Type="http://schemas.openxmlformats.org/officeDocument/2006/relationships/hyperlink" Target="https://www.britishmuseum.org/about-us/governance?utm_source=chatgpt.com" TargetMode="External"/><Relationship Id="rId27" Type="http://schemas.openxmlformats.org/officeDocument/2006/relationships/hyperlink" Target="https://doi.org/10.1179/135050396793139042" TargetMode="External"/><Relationship Id="rId30" Type="http://schemas.openxmlformats.org/officeDocument/2006/relationships/hyperlink" Target="https://doi.org/10.1080/2159032X.2015.1126116" TargetMode="External"/><Relationship Id="rId35" Type="http://schemas.openxmlformats.org/officeDocument/2006/relationships/hyperlink" Target="https://doi.org/10.1080/00438243.1999.9980448" TargetMode="External"/><Relationship Id="rId43" Type="http://schemas.openxmlformats.org/officeDocument/2006/relationships/hyperlink" Target="https://www.horniman.ac.uk/story/new-benin-display-at-the-horniman-includes-returned-bronzes-on-loan/?utm_source=chatgpt.com" TargetMode="External"/><Relationship Id="rId48" Type="http://schemas.openxmlformats.org/officeDocument/2006/relationships/hyperlink" Target="https://www.youtube.com/watch?v=Heat7rRN344&amp;utm_source=chatgpt.com" TargetMode="External"/><Relationship Id="rId56" Type="http://schemas.openxmlformats.org/officeDocument/2006/relationships/hyperlink" Target="https://doi.org/10.4467/2450050XSNR.22.012.17025" TargetMode="External"/><Relationship Id="rId64" Type="http://schemas.openxmlformats.org/officeDocument/2006/relationships/hyperlink" Target="https://www.mfa.gr/france/presveia/news/epanapatrismos-duo-arkhaioteton-apo-to-mouseio-getty.html" TargetMode="External"/><Relationship Id="rId8" Type="http://schemas.openxmlformats.org/officeDocument/2006/relationships/image" Target="media/image1.png"/><Relationship Id="rId51" Type="http://schemas.openxmlformats.org/officeDocument/2006/relationships/hyperlink" Target="https://doi.org/10.1007/978-3-031-56101-6" TargetMode="External"/><Relationship Id="rId3" Type="http://schemas.openxmlformats.org/officeDocument/2006/relationships/styles" Target="styles.xml"/><Relationship Id="rId12" Type="http://schemas.openxmlformats.org/officeDocument/2006/relationships/hyperlink" Target="https://www.theacropolismuseum.gr/en/exhibition-programs/permanent-reunification-parthenon-fragments-vatican-museums-acropolis-museum?utm_source=chatgpt.com" TargetMode="External"/><Relationship Id="rId17" Type="http://schemas.openxmlformats.org/officeDocument/2006/relationships/hyperlink" Target="https://openyls.law.yale.edu/server/api/core/bitstreams/94d99ac9-3c04-4dfa-9f30-8351dada2fba/content" TargetMode="External"/><Relationship Id="rId25" Type="http://schemas.openxmlformats.org/officeDocument/2006/relationships/hyperlink" Target="https://doi.org/10.4467/2450050XSNR.22.031.17044" TargetMode="External"/><Relationship Id="rId33" Type="http://schemas.openxmlformats.org/officeDocument/2006/relationships/hyperlink" Target="https://doi.org/10.1080/10286632.2023.2183949" TargetMode="External"/><Relationship Id="rId38" Type="http://schemas.openxmlformats.org/officeDocument/2006/relationships/hyperlink" Target="https://www.e-nomothesia.gr/kat-arxaiotites/pd-64-2013.html?utm_source=chatgpt.com" TargetMode="External"/><Relationship Id="rId46" Type="http://schemas.openxmlformats.org/officeDocument/2006/relationships/hyperlink" Target="https://www.horniman.ac.uk/about-the-horniman/people/?utm_source=chatgpt.com" TargetMode="External"/><Relationship Id="rId59" Type="http://schemas.openxmlformats.org/officeDocument/2006/relationships/hyperlink" Target="https://hansard.parliament.uk/lords/2025-07-16/debates/A88B9DD1-CA29-4A42-AA8B-0CE58FB33821/ParthenonSculpturesReturn?utm_source=chatgpt.com" TargetMode="External"/><Relationship Id="rId67" Type="http://schemas.openxmlformats.org/officeDocument/2006/relationships/fontTable" Target="fontTable.xml"/><Relationship Id="rId20" Type="http://schemas.openxmlformats.org/officeDocument/2006/relationships/hyperlink" Target="https://www.legislation.gov.uk/ukpga/1963/24?utm_source=chatgpt.com" TargetMode="External"/><Relationship Id="rId41" Type="http://schemas.openxmlformats.org/officeDocument/2006/relationships/hyperlink" Target="https://www.horniman.ac.uk/story/horniman-to-return-ownership-of-benin-bronzes-to-nigeria/?utm_source=chatgpt.com" TargetMode="External"/><Relationship Id="rId54" Type="http://schemas.openxmlformats.org/officeDocument/2006/relationships/hyperlink" Target="https://doi.org/10.15184/aqy.2024.129" TargetMode="External"/><Relationship Id="rId62" Type="http://schemas.openxmlformats.org/officeDocument/2006/relationships/hyperlink" Target="https://unesdoc.unesco.org/ark:/48223/pf000038987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theacropolismuseum.gr/en/exhibit-halls/parthenon-gallery?utm_source=chatgpt.com" TargetMode="External"/><Relationship Id="rId23" Type="http://schemas.openxmlformats.org/officeDocument/2006/relationships/hyperlink" Target="https://www.britishmuseum.org/about-us/british-museum-story/contested-objects-collection/parthenon-sculptures?utm_source=chatgpt.com" TargetMode="External"/><Relationship Id="rId28" Type="http://schemas.openxmlformats.org/officeDocument/2006/relationships/hyperlink" Target="https://doi.org/10.1017/S0940739110000044" TargetMode="External"/><Relationship Id="rId36" Type="http://schemas.openxmlformats.org/officeDocument/2006/relationships/hyperlink" Target="https://hellasjournal.com/2024/11/nefertiti-ta-elginia-tis-egiptou-i-ekstratia-gia-tin-epistrofi-tis-apo-tin-germania-simvolo-gia-anaktisi-archeotiton-pou-klapikan-apo-tin-apikiokratia-vinteo/" TargetMode="External"/><Relationship Id="rId49" Type="http://schemas.openxmlformats.org/officeDocument/2006/relationships/hyperlink" Target="https://icom.museum/wp-content/uploads/2018/07/ICOM-code-En-web.pdf" TargetMode="External"/><Relationship Id="rId57" Type="http://schemas.openxmlformats.org/officeDocument/2006/relationships/hyperlink" Target="https://www.youtube.com/watch?v=tLgZbdNg8Wo&amp;utm_source=chatgpt.com" TargetMode="External"/><Relationship Id="rId10" Type="http://schemas.openxmlformats.org/officeDocument/2006/relationships/hyperlink" Target="https://www.theacropolismuseum.gr/en/exhibition-programs/first-return-parthenon-sculpture-abroad-new-acropolis-museum?utm_source=chatgpt.com" TargetMode="External"/><Relationship Id="rId31" Type="http://schemas.openxmlformats.org/officeDocument/2006/relationships/hyperlink" Target="https://doi.org/10.1080/13507480601049203" TargetMode="External"/><Relationship Id="rId44" Type="http://schemas.openxmlformats.org/officeDocument/2006/relationships/hyperlink" Target="https://www.horniman.ac.uk/story/horniman-to-return-10-warumungu-objects-to-australia/?utm_source=chatgpt.com" TargetMode="External"/><Relationship Id="rId52" Type="http://schemas.openxmlformats.org/officeDocument/2006/relationships/hyperlink" Target="https://repository.law.umich.edu/cgi/viewcontent.cgi?params=/context/mlr/article/2640/&amp;path_info=" TargetMode="External"/><Relationship Id="rId60" Type="http://schemas.openxmlformats.org/officeDocument/2006/relationships/hyperlink" Target="https://www.unesco.org/creativity/en/2005-convention"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www.theacropolismuseum.gr/en/organisation-management?utm_source=chatgpt.com" TargetMode="External"/><Relationship Id="rId18" Type="http://schemas.openxmlformats.org/officeDocument/2006/relationships/hyperlink" Target="https://www.youtube.com/watch?v=mJB6ZqURHgc" TargetMode="External"/><Relationship Id="rId39" Type="http://schemas.openxmlformats.org/officeDocument/2006/relationships/hyperlink" Target="https://www.horniman.ac.uk/story/the-hornimans-new-chief-executive-nick-merriman-reveals-strategic-vision-for-the-future-of-the-museum-and-garde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3B5E4E2-FAEA-4214-99B2-BD7335981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95</Pages>
  <Words>32176</Words>
  <Characters>173754</Characters>
  <DocSecurity>0</DocSecurity>
  <Lines>1447</Lines>
  <Paragraphs>411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205519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2026-04-27T16:09:00Z</dcterms:created>
  <dcterms:modified xsi:type="dcterms:W3CDTF">2026-06-30T07:36:00Z</dcterms:modified>
  <cp:category/>
</cp:coreProperties>
</file>