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f"/>
        <w:tblW w:w="8732" w:type="dxa"/>
        <w:tblCellMar>
          <w:left w:w="123" w:type="dxa"/>
        </w:tblCellMar>
        <w:tblLook w:val="04A0"/>
      </w:tblPr>
      <w:tblGrid>
        <w:gridCol w:w="4367"/>
        <w:gridCol w:w="4365"/>
      </w:tblGrid>
      <w:tr w:rsidR="001B3514">
        <w:tc>
          <w:tcPr>
            <w:tcW w:w="4366" w:type="dxa"/>
            <w:tcBorders>
              <w:top w:val="nil"/>
              <w:left w:val="nil"/>
              <w:bottom w:val="nil"/>
              <w:right w:val="nil"/>
            </w:tcBorders>
            <w:shd w:val="clear" w:color="auto" w:fill="auto"/>
          </w:tcPr>
          <w:p w:rsidR="001B3514" w:rsidRDefault="00782E3E">
            <w:pPr>
              <w:spacing w:after="0" w:line="240" w:lineRule="auto"/>
              <w:jc w:val="center"/>
              <w:rPr>
                <w:rFonts w:ascii="Calibri" w:eastAsia="Times New Roman" w:hAnsi="Calibri" w:cs="Times New Roman"/>
              </w:rPr>
            </w:pPr>
            <w:r>
              <w:rPr>
                <w:noProof/>
              </w:rPr>
              <w:drawing>
                <wp:inline distT="0" distB="0" distL="0" distR="0">
                  <wp:extent cx="2276475" cy="876300"/>
                  <wp:effectExtent l="0" t="0" r="0" b="0"/>
                  <wp:docPr id="1" name="Picture 1" descr="logo_eap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_eap_new"/>
                          <pic:cNvPicPr>
                            <a:picLocks noChangeAspect="1" noChangeArrowheads="1"/>
                          </pic:cNvPicPr>
                        </pic:nvPicPr>
                        <pic:blipFill>
                          <a:blip r:embed="rId8" cstate="print"/>
                          <a:stretch>
                            <a:fillRect/>
                          </a:stretch>
                        </pic:blipFill>
                        <pic:spPr bwMode="auto">
                          <a:xfrm>
                            <a:off x="0" y="0"/>
                            <a:ext cx="2276475" cy="876300"/>
                          </a:xfrm>
                          <a:prstGeom prst="rect">
                            <a:avLst/>
                          </a:prstGeom>
                        </pic:spPr>
                      </pic:pic>
                    </a:graphicData>
                  </a:graphic>
                </wp:inline>
              </w:drawing>
            </w:r>
          </w:p>
        </w:tc>
        <w:tc>
          <w:tcPr>
            <w:tcW w:w="4365" w:type="dxa"/>
            <w:tcBorders>
              <w:top w:val="nil"/>
              <w:left w:val="nil"/>
              <w:bottom w:val="nil"/>
              <w:right w:val="nil"/>
            </w:tcBorders>
            <w:shd w:val="clear" w:color="auto" w:fill="auto"/>
          </w:tcPr>
          <w:p w:rsidR="001B3514" w:rsidRDefault="00782E3E">
            <w:pPr>
              <w:spacing w:after="0" w:line="240" w:lineRule="auto"/>
              <w:jc w:val="center"/>
              <w:rPr>
                <w:rFonts w:ascii="Calibri" w:eastAsia="Times New Roman" w:hAnsi="Calibri" w:cs="Times New Roman"/>
              </w:rPr>
            </w:pPr>
            <w:r>
              <w:rPr>
                <w:noProof/>
              </w:rPr>
              <w:drawing>
                <wp:inline distT="0" distB="0" distL="0" distR="0">
                  <wp:extent cx="1306195" cy="914400"/>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noChangeArrowheads="1"/>
                          </pic:cNvPicPr>
                        </pic:nvPicPr>
                        <pic:blipFill>
                          <a:blip r:embed="rId9" cstate="print"/>
                          <a:stretch>
                            <a:fillRect/>
                          </a:stretch>
                        </pic:blipFill>
                        <pic:spPr bwMode="auto">
                          <a:xfrm>
                            <a:off x="0" y="0"/>
                            <a:ext cx="1306195" cy="914400"/>
                          </a:xfrm>
                          <a:prstGeom prst="rect">
                            <a:avLst/>
                          </a:prstGeom>
                        </pic:spPr>
                      </pic:pic>
                    </a:graphicData>
                  </a:graphic>
                </wp:inline>
              </w:drawing>
            </w:r>
          </w:p>
        </w:tc>
      </w:tr>
      <w:tr w:rsidR="001B3514">
        <w:tc>
          <w:tcPr>
            <w:tcW w:w="4366" w:type="dxa"/>
            <w:tcBorders>
              <w:top w:val="nil"/>
              <w:left w:val="nil"/>
              <w:bottom w:val="nil"/>
              <w:right w:val="nil"/>
            </w:tcBorders>
            <w:shd w:val="clear" w:color="auto" w:fill="auto"/>
          </w:tcPr>
          <w:p w:rsidR="001B3514" w:rsidRPr="00782E3E" w:rsidRDefault="00782E3E" w:rsidP="00782E3E">
            <w:pPr>
              <w:spacing w:after="120" w:line="240" w:lineRule="auto"/>
              <w:jc w:val="center"/>
              <w:rPr>
                <w:sz w:val="28"/>
                <w:szCs w:val="28"/>
                <w:highlight w:val="yellow"/>
              </w:rPr>
            </w:pPr>
            <w:r w:rsidRPr="00782E3E">
              <w:rPr>
                <w:sz w:val="28"/>
                <w:szCs w:val="28"/>
              </w:rPr>
              <w:t>Σχολή Κοινωνικών Επιστημών</w:t>
            </w:r>
          </w:p>
        </w:tc>
        <w:tc>
          <w:tcPr>
            <w:tcW w:w="4365" w:type="dxa"/>
            <w:tcBorders>
              <w:top w:val="nil"/>
              <w:left w:val="nil"/>
              <w:bottom w:val="nil"/>
              <w:right w:val="nil"/>
            </w:tcBorders>
            <w:shd w:val="clear" w:color="auto" w:fill="auto"/>
          </w:tcPr>
          <w:p w:rsidR="001B3514" w:rsidRPr="00782E3E" w:rsidRDefault="00782E3E" w:rsidP="00782E3E">
            <w:pPr>
              <w:spacing w:after="0" w:line="240" w:lineRule="auto"/>
              <w:jc w:val="center"/>
              <w:rPr>
                <w:sz w:val="28"/>
                <w:szCs w:val="28"/>
                <w:highlight w:val="yellow"/>
              </w:rPr>
            </w:pPr>
            <w:r w:rsidRPr="00782E3E">
              <w:rPr>
                <w:sz w:val="28"/>
                <w:szCs w:val="28"/>
              </w:rPr>
              <w:t>Τμήμα Ιατρικής</w:t>
            </w:r>
          </w:p>
        </w:tc>
      </w:tr>
    </w:tbl>
    <w:p w:rsidR="001B3514" w:rsidRDefault="001B3514">
      <w:pPr>
        <w:spacing w:after="120"/>
        <w:jc w:val="center"/>
        <w:rPr>
          <w:sz w:val="32"/>
        </w:rPr>
      </w:pPr>
    </w:p>
    <w:p w:rsidR="00782E3E" w:rsidRDefault="00782E3E">
      <w:pPr>
        <w:spacing w:after="120"/>
        <w:jc w:val="center"/>
        <w:rPr>
          <w:sz w:val="32"/>
        </w:rPr>
      </w:pPr>
    </w:p>
    <w:p w:rsidR="001825E6" w:rsidRDefault="001825E6" w:rsidP="001825E6">
      <w:pPr>
        <w:pStyle w:val="Default"/>
      </w:pPr>
    </w:p>
    <w:p w:rsidR="001825E6" w:rsidRDefault="001825E6" w:rsidP="001825E6">
      <w:pPr>
        <w:pStyle w:val="Default"/>
        <w:jc w:val="center"/>
        <w:rPr>
          <w:sz w:val="36"/>
          <w:szCs w:val="36"/>
        </w:rPr>
      </w:pPr>
      <w:r>
        <w:rPr>
          <w:sz w:val="36"/>
          <w:szCs w:val="36"/>
        </w:rPr>
        <w:t>Μεταπτυχιακό Πρόγραμμα Σπουδών</w:t>
      </w:r>
    </w:p>
    <w:p w:rsidR="001825E6" w:rsidRDefault="001825E6">
      <w:pPr>
        <w:spacing w:after="120"/>
        <w:jc w:val="center"/>
        <w:rPr>
          <w:sz w:val="36"/>
        </w:rPr>
      </w:pPr>
    </w:p>
    <w:p w:rsidR="001B3514" w:rsidRPr="001825E6" w:rsidRDefault="00782E3E">
      <w:pPr>
        <w:spacing w:after="120"/>
        <w:jc w:val="center"/>
        <w:rPr>
          <w:b/>
          <w:bCs/>
          <w:sz w:val="36"/>
        </w:rPr>
      </w:pPr>
      <w:r w:rsidRPr="001825E6">
        <w:rPr>
          <w:b/>
          <w:bCs/>
          <w:sz w:val="36"/>
        </w:rPr>
        <w:t>Διαχείριση γήρανσης και χρόνιων νοσημάτων</w:t>
      </w:r>
    </w:p>
    <w:p w:rsidR="001B3514" w:rsidRDefault="001B3514">
      <w:pPr>
        <w:spacing w:after="120"/>
      </w:pPr>
    </w:p>
    <w:p w:rsidR="001B3514" w:rsidRDefault="00782E3E">
      <w:pPr>
        <w:spacing w:after="120"/>
        <w:jc w:val="center"/>
        <w:rPr>
          <w:sz w:val="36"/>
        </w:rPr>
      </w:pPr>
      <w:r>
        <w:rPr>
          <w:sz w:val="32"/>
        </w:rPr>
        <w:t>Μεταπτυχιακή Διπλωματική Εργασία</w:t>
      </w:r>
    </w:p>
    <w:p w:rsidR="001B3514" w:rsidRDefault="00782E3E">
      <w:pPr>
        <w:jc w:val="center"/>
        <w:rPr>
          <w:sz w:val="32"/>
        </w:rPr>
      </w:pPr>
      <w:r>
        <w:rPr>
          <w:sz w:val="32"/>
        </w:rPr>
        <w:t>Το Ψυχολογικό προφίλ των ατόμων που ζουν με υπέρταση και ο ρόλος του στη θεραπευτική τους συμμόρφωση</w:t>
      </w:r>
    </w:p>
    <w:p w:rsidR="001B3514" w:rsidRDefault="001B3514">
      <w:pPr>
        <w:spacing w:after="120"/>
        <w:jc w:val="center"/>
        <w:rPr>
          <w:sz w:val="28"/>
        </w:rPr>
      </w:pPr>
    </w:p>
    <w:p w:rsidR="001B3514" w:rsidRDefault="00782E3E">
      <w:pPr>
        <w:spacing w:after="120"/>
        <w:jc w:val="center"/>
      </w:pPr>
      <w:r>
        <w:rPr>
          <w:sz w:val="28"/>
        </w:rPr>
        <w:t>Αλεξάνδρα  Δ.  Δίνα</w:t>
      </w:r>
    </w:p>
    <w:p w:rsidR="001B3514" w:rsidRDefault="001B3514">
      <w:pPr>
        <w:spacing w:after="120"/>
        <w:jc w:val="center"/>
        <w:rPr>
          <w:sz w:val="28"/>
        </w:rPr>
      </w:pPr>
    </w:p>
    <w:p w:rsidR="001B3514" w:rsidRDefault="001B3514">
      <w:pPr>
        <w:spacing w:after="120"/>
        <w:jc w:val="center"/>
      </w:pPr>
    </w:p>
    <w:p w:rsidR="001B3514" w:rsidRDefault="001B3514">
      <w:pPr>
        <w:spacing w:after="120"/>
        <w:jc w:val="center"/>
      </w:pPr>
    </w:p>
    <w:p w:rsidR="001B3514" w:rsidRDefault="00782E3E">
      <w:pPr>
        <w:spacing w:after="120"/>
        <w:jc w:val="center"/>
      </w:pPr>
      <w:r>
        <w:t>Επιβλέπουσα Καθηγήτρια:   Μαίρη  Γκούβα</w:t>
      </w:r>
    </w:p>
    <w:p w:rsidR="001B3514" w:rsidRDefault="001B3514">
      <w:pPr>
        <w:spacing w:after="120"/>
        <w:jc w:val="center"/>
      </w:pPr>
    </w:p>
    <w:p w:rsidR="001B3514" w:rsidRDefault="001B3514">
      <w:pPr>
        <w:spacing w:after="120"/>
        <w:jc w:val="center"/>
      </w:pPr>
    </w:p>
    <w:p w:rsidR="001B3514" w:rsidRDefault="001B3514">
      <w:pPr>
        <w:spacing w:after="120"/>
        <w:jc w:val="center"/>
      </w:pPr>
    </w:p>
    <w:p w:rsidR="001B3514" w:rsidRDefault="00782E3E">
      <w:pPr>
        <w:spacing w:after="120"/>
        <w:jc w:val="center"/>
        <w:rPr>
          <w:rFonts w:eastAsia="Arial Unicode MS" w:cs="Arial Unicode MS"/>
          <w:b/>
          <w:bCs/>
          <w:kern w:val="2"/>
          <w:sz w:val="32"/>
          <w:szCs w:val="36"/>
          <w:lang w:eastAsia="zh-CN" w:bidi="hi-IN"/>
        </w:rPr>
      </w:pPr>
      <w:r>
        <w:rPr>
          <w:sz w:val="28"/>
        </w:rPr>
        <w:t xml:space="preserve">Πάτρα, «Φεβρουάριος» «2021» </w:t>
      </w:r>
      <w:r>
        <w:br w:type="page"/>
      </w:r>
    </w:p>
    <w:p w:rsidR="001B3514" w:rsidRDefault="001B3514">
      <w:pPr>
        <w:spacing w:after="120"/>
      </w:pPr>
    </w:p>
    <w:p w:rsidR="001B3514" w:rsidRDefault="001B3514">
      <w:pPr>
        <w:spacing w:after="120"/>
      </w:pPr>
    </w:p>
    <w:p w:rsidR="001B3514" w:rsidRDefault="001B3514">
      <w:pPr>
        <w:spacing w:after="120"/>
      </w:pPr>
    </w:p>
    <w:p w:rsidR="001B3514" w:rsidRDefault="001B3514">
      <w:pPr>
        <w:spacing w:after="120"/>
      </w:pPr>
    </w:p>
    <w:p w:rsidR="001B3514" w:rsidRDefault="001B3514">
      <w:pPr>
        <w:spacing w:after="120"/>
      </w:pPr>
    </w:p>
    <w:p w:rsidR="001B3514" w:rsidRDefault="001B3514">
      <w:pPr>
        <w:spacing w:after="120"/>
      </w:pPr>
    </w:p>
    <w:p w:rsidR="001B3514" w:rsidRDefault="001B3514">
      <w:pPr>
        <w:spacing w:after="120"/>
      </w:pPr>
    </w:p>
    <w:p w:rsidR="001B3514" w:rsidRDefault="001B3514">
      <w:pPr>
        <w:spacing w:after="120"/>
      </w:pPr>
    </w:p>
    <w:p w:rsidR="001B3514" w:rsidRDefault="001B3514">
      <w:pPr>
        <w:spacing w:after="120"/>
      </w:pPr>
    </w:p>
    <w:p w:rsidR="001B3514" w:rsidRDefault="001B3514">
      <w:pPr>
        <w:spacing w:after="120"/>
      </w:pPr>
    </w:p>
    <w:p w:rsidR="001B3514" w:rsidRDefault="001B3514">
      <w:pPr>
        <w:spacing w:after="120"/>
      </w:pPr>
    </w:p>
    <w:p w:rsidR="001B3514" w:rsidRDefault="001B3514">
      <w:pPr>
        <w:spacing w:after="120"/>
      </w:pPr>
    </w:p>
    <w:p w:rsidR="001B3514" w:rsidRDefault="001B3514">
      <w:pPr>
        <w:spacing w:after="120"/>
      </w:pPr>
    </w:p>
    <w:p w:rsidR="001B3514" w:rsidRDefault="001B3514">
      <w:pPr>
        <w:spacing w:after="120"/>
      </w:pPr>
    </w:p>
    <w:p w:rsidR="001B3514" w:rsidRDefault="001B3514">
      <w:pPr>
        <w:spacing w:after="120"/>
      </w:pPr>
    </w:p>
    <w:p w:rsidR="001B3514" w:rsidRDefault="001B3514">
      <w:pPr>
        <w:spacing w:after="120"/>
      </w:pPr>
    </w:p>
    <w:p w:rsidR="001B3514" w:rsidRDefault="001B3514">
      <w:pPr>
        <w:spacing w:after="120"/>
      </w:pPr>
    </w:p>
    <w:p w:rsidR="001B3514" w:rsidRDefault="001B3514">
      <w:pPr>
        <w:spacing w:after="120"/>
      </w:pPr>
    </w:p>
    <w:p w:rsidR="001B3514" w:rsidRDefault="00782E3E">
      <w:pPr>
        <w:spacing w:after="120" w:line="276" w:lineRule="auto"/>
        <w:rPr>
          <w:sz w:val="20"/>
          <w:szCs w:val="28"/>
        </w:rPr>
      </w:pPr>
      <w:r>
        <w:rPr>
          <w:sz w:val="20"/>
          <w:szCs w:val="28"/>
        </w:rPr>
        <w:t>Η παρούσα εργασία αποτελεί πνευματική ιδιοκτησία του/της φοιτητή («συγγραφέας/δημιουργός») που την εκπόνησε. Στο πλαίσιο της πολιτικής ανοικτής πρόσβασης ο/η συγγραφέας/δημιουργός εκχωρεί στο ΕΑΠ, μη αποκλειστική άδεια χρήσης του δικαιώματος αναπαραγωγής, προσαρμογής, δημόσιου δανεισμού, παρουσίασης στο κοινό και ψηφιακής διάχυσής τους διεθνώς, σε ηλεκτρονική μορφή και σε οποιοδήποτε μέσο, για διδακτικούς και ερευνητικούς σκοπούς, άνευ ανταλλάγματος και για όλο το χρόνο διάρκειας των δικαιωμάτων πνευματικής ιδιοκτησίας. Η ανοικτή πρόσβαση στο πλήρες κείμενο για μελέτη και ανάγνωση δεν σημαίνει καθ’ οιονδήποτε τρόπο παραχώρηση δικαιωμάτων διανοητικής ιδιοκτησίας του/της συγγραφέα/δημιουργού ούτε επιτρέπει την αναπαραγωγή, αναδημοσίευση, αντιγραφή, αποθήκευση, πώληση, εμπορική χρήση, μετάδοση, διανομή, έκδοση, εκτέλεση, «μεταφόρτωση» (downloading), «ανάρτηση» (uploading), μετάφραση, τροποποίηση με οποιονδήποτε τρόπο, τμηματικά ή περιληπτικά της εργασίας, χωρίς τη ρητή προηγούμενη έγγραφη συναίνεση του/της συγγραφέα/δημιουργού. Ο/Η συγγραφέας/δημιουργός διατηρεί το σύνολο των ηθικών και περιουσιακών του δικαιωμάτων.</w:t>
      </w:r>
      <w:r>
        <w:br w:type="page"/>
      </w:r>
    </w:p>
    <w:tbl>
      <w:tblPr>
        <w:tblStyle w:val="af"/>
        <w:tblW w:w="8732" w:type="dxa"/>
        <w:tblCellMar>
          <w:left w:w="123" w:type="dxa"/>
        </w:tblCellMar>
        <w:tblLook w:val="04A0"/>
      </w:tblPr>
      <w:tblGrid>
        <w:gridCol w:w="4367"/>
        <w:gridCol w:w="4365"/>
      </w:tblGrid>
      <w:tr w:rsidR="001B3514">
        <w:tc>
          <w:tcPr>
            <w:tcW w:w="4366" w:type="dxa"/>
            <w:tcBorders>
              <w:top w:val="nil"/>
              <w:left w:val="nil"/>
              <w:bottom w:val="nil"/>
              <w:right w:val="nil"/>
            </w:tcBorders>
            <w:shd w:val="clear" w:color="auto" w:fill="auto"/>
          </w:tcPr>
          <w:p w:rsidR="001B3514" w:rsidRDefault="00782E3E">
            <w:pPr>
              <w:pageBreakBefore/>
              <w:spacing w:after="0" w:line="240" w:lineRule="auto"/>
              <w:jc w:val="center"/>
              <w:rPr>
                <w:rFonts w:ascii="Calibri" w:eastAsia="Times New Roman" w:hAnsi="Calibri" w:cs="Times New Roman"/>
              </w:rPr>
            </w:pPr>
            <w:r>
              <w:rPr>
                <w:noProof/>
              </w:rPr>
              <w:lastRenderedPageBreak/>
              <w:drawing>
                <wp:inline distT="0" distB="0" distL="0" distR="0">
                  <wp:extent cx="2276475" cy="876300"/>
                  <wp:effectExtent l="0" t="0" r="0" b="0"/>
                  <wp:docPr id="3" name="Picture 3" descr="logo_eap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_eap_new"/>
                          <pic:cNvPicPr>
                            <a:picLocks noChangeAspect="1" noChangeArrowheads="1"/>
                          </pic:cNvPicPr>
                        </pic:nvPicPr>
                        <pic:blipFill>
                          <a:blip r:embed="rId8" cstate="print"/>
                          <a:stretch>
                            <a:fillRect/>
                          </a:stretch>
                        </pic:blipFill>
                        <pic:spPr bwMode="auto">
                          <a:xfrm>
                            <a:off x="0" y="0"/>
                            <a:ext cx="2276475" cy="876300"/>
                          </a:xfrm>
                          <a:prstGeom prst="rect">
                            <a:avLst/>
                          </a:prstGeom>
                        </pic:spPr>
                      </pic:pic>
                    </a:graphicData>
                  </a:graphic>
                </wp:inline>
              </w:drawing>
            </w:r>
          </w:p>
        </w:tc>
        <w:tc>
          <w:tcPr>
            <w:tcW w:w="4365" w:type="dxa"/>
            <w:tcBorders>
              <w:top w:val="nil"/>
              <w:left w:val="nil"/>
              <w:bottom w:val="nil"/>
              <w:right w:val="nil"/>
            </w:tcBorders>
            <w:shd w:val="clear" w:color="auto" w:fill="auto"/>
          </w:tcPr>
          <w:p w:rsidR="001B3514" w:rsidRDefault="00782E3E">
            <w:pPr>
              <w:spacing w:after="0" w:line="240" w:lineRule="auto"/>
              <w:jc w:val="center"/>
              <w:rPr>
                <w:rFonts w:ascii="Calibri" w:eastAsia="Times New Roman" w:hAnsi="Calibri" w:cs="Times New Roman"/>
              </w:rPr>
            </w:pPr>
            <w:r>
              <w:rPr>
                <w:noProof/>
              </w:rPr>
              <w:drawing>
                <wp:inline distT="0" distB="0" distL="0" distR="0">
                  <wp:extent cx="1306195" cy="914400"/>
                  <wp:effectExtent l="0" t="0" r="0" b="0"/>
                  <wp:docPr id="4" name="Εικόν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Εικόνα1"/>
                          <pic:cNvPicPr>
                            <a:picLocks noChangeAspect="1" noChangeArrowheads="1"/>
                          </pic:cNvPicPr>
                        </pic:nvPicPr>
                        <pic:blipFill>
                          <a:blip r:embed="rId9" cstate="print"/>
                          <a:stretch>
                            <a:fillRect/>
                          </a:stretch>
                        </pic:blipFill>
                        <pic:spPr bwMode="auto">
                          <a:xfrm>
                            <a:off x="0" y="0"/>
                            <a:ext cx="1306195" cy="914400"/>
                          </a:xfrm>
                          <a:prstGeom prst="rect">
                            <a:avLst/>
                          </a:prstGeom>
                        </pic:spPr>
                      </pic:pic>
                    </a:graphicData>
                  </a:graphic>
                </wp:inline>
              </w:drawing>
            </w:r>
          </w:p>
        </w:tc>
      </w:tr>
    </w:tbl>
    <w:p w:rsidR="001B3514" w:rsidRDefault="001B3514">
      <w:pPr>
        <w:spacing w:after="120"/>
        <w:jc w:val="center"/>
        <w:rPr>
          <w:sz w:val="32"/>
        </w:rPr>
      </w:pPr>
    </w:p>
    <w:p w:rsidR="001B3514" w:rsidRDefault="001B3514">
      <w:pPr>
        <w:spacing w:after="120"/>
        <w:jc w:val="center"/>
        <w:rPr>
          <w:sz w:val="32"/>
        </w:rPr>
      </w:pPr>
    </w:p>
    <w:p w:rsidR="001B3514" w:rsidRDefault="001B3514">
      <w:pPr>
        <w:spacing w:after="120"/>
        <w:jc w:val="center"/>
        <w:rPr>
          <w:sz w:val="32"/>
        </w:rPr>
      </w:pPr>
    </w:p>
    <w:p w:rsidR="001B3514" w:rsidRDefault="00782E3E">
      <w:pPr>
        <w:spacing w:after="120"/>
        <w:jc w:val="center"/>
        <w:rPr>
          <w:sz w:val="32"/>
        </w:rPr>
      </w:pPr>
      <w:r>
        <w:rPr>
          <w:sz w:val="32"/>
        </w:rPr>
        <w:t>Το Ψυχολογικό προφίλ των ατόμων που ζουν με υπέρταση και ο ρόλος του στη θεραπευτική τους συμμόρφωση</w:t>
      </w:r>
    </w:p>
    <w:p w:rsidR="001B3514" w:rsidRDefault="001B3514">
      <w:pPr>
        <w:spacing w:after="120"/>
      </w:pPr>
    </w:p>
    <w:p w:rsidR="001B3514" w:rsidRDefault="00782E3E">
      <w:pPr>
        <w:spacing w:after="120"/>
        <w:jc w:val="center"/>
      </w:pPr>
      <w:r>
        <w:rPr>
          <w:sz w:val="28"/>
        </w:rPr>
        <w:t>Αλεξάνδρα  Δ. Δίνα</w:t>
      </w:r>
    </w:p>
    <w:p w:rsidR="001B3514" w:rsidRDefault="001B3514">
      <w:pPr>
        <w:spacing w:after="120"/>
      </w:pPr>
    </w:p>
    <w:p w:rsidR="001B3514" w:rsidRDefault="001B3514">
      <w:pPr>
        <w:spacing w:after="120"/>
      </w:pPr>
    </w:p>
    <w:p w:rsidR="001B3514" w:rsidRDefault="00782E3E">
      <w:pPr>
        <w:spacing w:after="120"/>
        <w:jc w:val="center"/>
      </w:pPr>
      <w:r>
        <w:t>Επιτροπή Κρίσης</w:t>
      </w:r>
    </w:p>
    <w:tbl>
      <w:tblPr>
        <w:tblW w:w="8742" w:type="dxa"/>
        <w:tblLook w:val="04A0"/>
      </w:tblPr>
      <w:tblGrid>
        <w:gridCol w:w="4428"/>
        <w:gridCol w:w="4314"/>
      </w:tblGrid>
      <w:tr w:rsidR="001B3514">
        <w:trPr>
          <w:trHeight w:val="1803"/>
        </w:trPr>
        <w:tc>
          <w:tcPr>
            <w:tcW w:w="4427" w:type="dxa"/>
            <w:shd w:val="clear" w:color="auto" w:fill="auto"/>
          </w:tcPr>
          <w:p w:rsidR="001B3514" w:rsidRPr="001825E6" w:rsidRDefault="00782E3E" w:rsidP="001825E6">
            <w:pPr>
              <w:spacing w:after="120" w:line="240" w:lineRule="auto"/>
              <w:jc w:val="center"/>
              <w:rPr>
                <w:rFonts w:eastAsia="Times New Roman" w:cs="Times New Roman"/>
                <w:szCs w:val="24"/>
                <w:lang w:eastAsia="el-GR"/>
              </w:rPr>
            </w:pPr>
            <w:r w:rsidRPr="001825E6">
              <w:rPr>
                <w:rFonts w:eastAsia="Times New Roman" w:cs="Times New Roman"/>
                <w:szCs w:val="24"/>
                <w:lang w:eastAsia="el-GR"/>
              </w:rPr>
              <w:t>Επιβλέπουσα Καθηγήτρια:</w:t>
            </w:r>
          </w:p>
          <w:p w:rsidR="001B3514" w:rsidRPr="001825E6" w:rsidRDefault="00782E3E" w:rsidP="001825E6">
            <w:pPr>
              <w:spacing w:after="120" w:line="240" w:lineRule="auto"/>
              <w:jc w:val="center"/>
              <w:rPr>
                <w:rFonts w:eastAsia="Times New Roman" w:cs="Times New Roman"/>
                <w:szCs w:val="24"/>
                <w:lang w:eastAsia="el-GR"/>
              </w:rPr>
            </w:pPr>
            <w:r w:rsidRPr="001825E6">
              <w:rPr>
                <w:rFonts w:eastAsia="Times New Roman" w:cs="Times New Roman"/>
                <w:szCs w:val="24"/>
                <w:lang w:eastAsia="el-GR"/>
              </w:rPr>
              <w:t>Μαίρη Γκούβα</w:t>
            </w:r>
          </w:p>
          <w:p w:rsidR="001825E6" w:rsidRDefault="00782E3E" w:rsidP="00782E3E">
            <w:pPr>
              <w:spacing w:after="120" w:line="240" w:lineRule="auto"/>
              <w:jc w:val="center"/>
              <w:rPr>
                <w:rFonts w:eastAsia="Times New Roman" w:cs="Times New Roman"/>
                <w:szCs w:val="24"/>
                <w:lang w:eastAsia="el-GR"/>
              </w:rPr>
            </w:pPr>
            <w:r w:rsidRPr="00AF24D0">
              <w:rPr>
                <w:rFonts w:eastAsia="Times New Roman" w:cs="Times New Roman"/>
                <w:szCs w:val="24"/>
                <w:lang w:eastAsia="el-GR"/>
              </w:rPr>
              <w:t xml:space="preserve">Καθηγήτρια Ψυχολογίας </w:t>
            </w:r>
            <w:r w:rsidR="001825E6">
              <w:rPr>
                <w:rFonts w:eastAsia="Times New Roman" w:cs="Times New Roman"/>
                <w:szCs w:val="24"/>
                <w:lang w:eastAsia="el-GR"/>
              </w:rPr>
              <w:t>Ασθενών</w:t>
            </w:r>
          </w:p>
          <w:p w:rsidR="001B3514" w:rsidRPr="00782E3E" w:rsidRDefault="001825E6" w:rsidP="00782E3E">
            <w:pPr>
              <w:spacing w:after="120" w:line="240" w:lineRule="auto"/>
              <w:jc w:val="center"/>
              <w:rPr>
                <w:rFonts w:eastAsia="Times New Roman" w:cs="Times New Roman"/>
                <w:szCs w:val="24"/>
                <w:lang w:eastAsia="el-GR"/>
              </w:rPr>
            </w:pPr>
            <w:r>
              <w:rPr>
                <w:rFonts w:eastAsia="Times New Roman" w:cs="Times New Roman"/>
                <w:szCs w:val="24"/>
                <w:lang w:eastAsia="el-GR"/>
              </w:rPr>
              <w:t>Πανεπιστήμιο Ιωαννίνων</w:t>
            </w:r>
          </w:p>
        </w:tc>
        <w:tc>
          <w:tcPr>
            <w:tcW w:w="4314" w:type="dxa"/>
            <w:shd w:val="clear" w:color="auto" w:fill="auto"/>
          </w:tcPr>
          <w:p w:rsidR="001B3514" w:rsidRPr="001825E6" w:rsidRDefault="00782E3E" w:rsidP="001825E6">
            <w:pPr>
              <w:spacing w:after="120" w:line="240" w:lineRule="auto"/>
              <w:jc w:val="center"/>
              <w:rPr>
                <w:rFonts w:eastAsia="Times New Roman" w:cs="Times New Roman"/>
                <w:szCs w:val="24"/>
                <w:lang w:eastAsia="el-GR"/>
              </w:rPr>
            </w:pPr>
            <w:r w:rsidRPr="001825E6">
              <w:rPr>
                <w:rFonts w:eastAsia="Times New Roman" w:cs="Times New Roman"/>
                <w:szCs w:val="24"/>
                <w:lang w:eastAsia="el-GR"/>
              </w:rPr>
              <w:t>Συν-Επιβλέπων Καθηγητής:</w:t>
            </w:r>
          </w:p>
          <w:p w:rsidR="001B3514" w:rsidRPr="001825E6" w:rsidRDefault="00782E3E" w:rsidP="001825E6">
            <w:pPr>
              <w:spacing w:after="120" w:line="240" w:lineRule="auto"/>
              <w:jc w:val="center"/>
              <w:rPr>
                <w:rFonts w:eastAsia="Times New Roman" w:cs="Times New Roman"/>
                <w:szCs w:val="24"/>
                <w:lang w:eastAsia="el-GR"/>
              </w:rPr>
            </w:pPr>
            <w:r w:rsidRPr="001825E6">
              <w:rPr>
                <w:rFonts w:eastAsia="Times New Roman" w:cs="Times New Roman"/>
                <w:szCs w:val="24"/>
                <w:lang w:eastAsia="el-GR"/>
              </w:rPr>
              <w:t>Γεώργιος Κουγιουμτζής</w:t>
            </w:r>
          </w:p>
          <w:p w:rsidR="001B3514" w:rsidRPr="001825E6" w:rsidRDefault="001825E6" w:rsidP="001825E6">
            <w:pPr>
              <w:spacing w:after="120" w:line="240" w:lineRule="auto"/>
              <w:jc w:val="center"/>
              <w:rPr>
                <w:rFonts w:eastAsia="Times New Roman" w:cs="Times New Roman"/>
                <w:szCs w:val="24"/>
                <w:lang w:eastAsia="el-GR"/>
              </w:rPr>
            </w:pPr>
            <w:r w:rsidRPr="001825E6">
              <w:rPr>
                <w:rFonts w:eastAsia="Times New Roman" w:cs="Times New Roman"/>
                <w:szCs w:val="24"/>
                <w:lang w:eastAsia="el-GR"/>
              </w:rPr>
              <w:t>Διδάκτωρ Παιδαγωγικής, Διδακτικής και</w:t>
            </w:r>
            <w:r w:rsidRPr="001825E6">
              <w:rPr>
                <w:rFonts w:eastAsia="Times New Roman" w:cs="Times New Roman"/>
                <w:szCs w:val="24"/>
                <w:lang w:eastAsia="el-GR"/>
              </w:rPr>
              <w:br/>
              <w:t>Συμβουλευτικής Καθοδήγησης</w:t>
            </w:r>
            <w:r w:rsidRPr="001825E6">
              <w:rPr>
                <w:rFonts w:eastAsia="Times New Roman" w:cs="Times New Roman"/>
                <w:szCs w:val="24"/>
                <w:lang w:eastAsia="el-GR"/>
              </w:rPr>
              <w:br/>
              <w:t>Πανεπιστήμιο Αθηνών</w:t>
            </w:r>
          </w:p>
          <w:p w:rsidR="001B3514" w:rsidRPr="001825E6" w:rsidRDefault="001B3514" w:rsidP="001825E6">
            <w:pPr>
              <w:spacing w:after="120" w:line="240" w:lineRule="auto"/>
              <w:jc w:val="center"/>
              <w:rPr>
                <w:rFonts w:eastAsia="Times New Roman" w:cs="Times New Roman"/>
                <w:szCs w:val="24"/>
                <w:lang w:eastAsia="el-GR"/>
              </w:rPr>
            </w:pPr>
          </w:p>
        </w:tc>
      </w:tr>
    </w:tbl>
    <w:p w:rsidR="001B3514" w:rsidRDefault="001B3514">
      <w:pPr>
        <w:spacing w:after="120"/>
        <w:jc w:val="center"/>
        <w:rPr>
          <w:b/>
        </w:rPr>
      </w:pPr>
    </w:p>
    <w:p w:rsidR="001B3514" w:rsidRPr="00DB0D21" w:rsidRDefault="001B3514">
      <w:pPr>
        <w:spacing w:after="120"/>
        <w:jc w:val="center"/>
        <w:rPr>
          <w:b/>
        </w:rPr>
      </w:pPr>
    </w:p>
    <w:p w:rsidR="001B3514" w:rsidRDefault="001B3514">
      <w:pPr>
        <w:spacing w:after="120"/>
        <w:jc w:val="center"/>
        <w:rPr>
          <w:b/>
        </w:rPr>
      </w:pPr>
    </w:p>
    <w:p w:rsidR="001B3514" w:rsidRDefault="001B3514">
      <w:pPr>
        <w:spacing w:after="120"/>
        <w:jc w:val="center"/>
        <w:rPr>
          <w:b/>
        </w:rPr>
      </w:pPr>
    </w:p>
    <w:p w:rsidR="001B3514" w:rsidRDefault="001B3514">
      <w:pPr>
        <w:spacing w:after="120"/>
        <w:jc w:val="center"/>
        <w:rPr>
          <w:b/>
        </w:rPr>
      </w:pPr>
    </w:p>
    <w:p w:rsidR="001B3514" w:rsidRDefault="001B3514">
      <w:pPr>
        <w:spacing w:after="120"/>
        <w:rPr>
          <w:b/>
        </w:rPr>
      </w:pPr>
    </w:p>
    <w:p w:rsidR="001B3514" w:rsidRDefault="00782E3E">
      <w:pPr>
        <w:spacing w:after="120"/>
        <w:jc w:val="center"/>
        <w:rPr>
          <w:sz w:val="28"/>
        </w:rPr>
        <w:sectPr w:rsidR="001B3514">
          <w:pgSz w:w="11906" w:h="16838"/>
          <w:pgMar w:top="1440" w:right="1440" w:bottom="1440" w:left="1440" w:header="720" w:footer="0" w:gutter="0"/>
          <w:cols w:space="720"/>
          <w:formProt w:val="0"/>
          <w:docGrid w:linePitch="360"/>
        </w:sectPr>
      </w:pPr>
      <w:r>
        <w:rPr>
          <w:sz w:val="28"/>
        </w:rPr>
        <w:t>Πάτρα, Φεβρουάριος 2021</w:t>
      </w:r>
    </w:p>
    <w:p w:rsidR="001B3514" w:rsidRDefault="001B3514">
      <w:pPr>
        <w:spacing w:after="120" w:line="276" w:lineRule="auto"/>
        <w:rPr>
          <w:szCs w:val="28"/>
        </w:rPr>
      </w:pPr>
    </w:p>
    <w:p w:rsidR="001B3514" w:rsidRDefault="00782E3E">
      <w:pPr>
        <w:spacing w:after="120" w:line="276" w:lineRule="auto"/>
        <w:rPr>
          <w:szCs w:val="28"/>
        </w:rPr>
      </w:pPr>
      <w:r>
        <w:rPr>
          <w:szCs w:val="28"/>
        </w:rPr>
        <w:t>ΕΥΧΑΡΙΣΤΙΕΣ</w:t>
      </w:r>
    </w:p>
    <w:p w:rsidR="001B3514" w:rsidRDefault="00782E3E">
      <w:pPr>
        <w:spacing w:after="120" w:line="276" w:lineRule="auto"/>
        <w:rPr>
          <w:szCs w:val="28"/>
        </w:rPr>
      </w:pPr>
      <w:r>
        <w:rPr>
          <w:szCs w:val="28"/>
        </w:rPr>
        <w:t>Θα ήθελα να ευχαριστήσω θερμά την καθηγήτριά μου κα Μαίρη Γκούβα για την βοήθεια</w:t>
      </w:r>
      <w:r w:rsidR="00F7158D">
        <w:rPr>
          <w:szCs w:val="28"/>
        </w:rPr>
        <w:t>,</w:t>
      </w:r>
      <w:r>
        <w:rPr>
          <w:szCs w:val="28"/>
        </w:rPr>
        <w:t xml:space="preserve"> κατανόηση, ηρεμία  και υποστήριξη που μου προσέφερε καθ΄ ολη τη διάρκεια εκπόνησης της μεταπτυχιακής εργασίας.</w:t>
      </w:r>
    </w:p>
    <w:p w:rsidR="001B3514" w:rsidRDefault="001B3514">
      <w:pPr>
        <w:spacing w:after="120" w:line="276" w:lineRule="auto"/>
        <w:rPr>
          <w:szCs w:val="28"/>
        </w:rPr>
      </w:pPr>
    </w:p>
    <w:p w:rsidR="001B3514" w:rsidRDefault="001B3514">
      <w:pPr>
        <w:spacing w:after="120" w:line="276" w:lineRule="auto"/>
        <w:rPr>
          <w:szCs w:val="28"/>
        </w:rPr>
      </w:pPr>
    </w:p>
    <w:p w:rsidR="001B3514" w:rsidRDefault="001B3514">
      <w:pPr>
        <w:spacing w:after="120" w:line="276" w:lineRule="auto"/>
        <w:rPr>
          <w:szCs w:val="28"/>
        </w:rPr>
      </w:pPr>
    </w:p>
    <w:p w:rsidR="001B3514" w:rsidRDefault="001B3514"/>
    <w:p w:rsidR="001B3514" w:rsidRDefault="001B3514">
      <w:pPr>
        <w:jc w:val="right"/>
        <w:rPr>
          <w:i/>
        </w:rPr>
      </w:pPr>
    </w:p>
    <w:p w:rsidR="001B3514" w:rsidRDefault="001B3514">
      <w:pPr>
        <w:jc w:val="right"/>
        <w:rPr>
          <w:i/>
        </w:rPr>
      </w:pPr>
    </w:p>
    <w:p w:rsidR="001B3514" w:rsidRDefault="001B3514">
      <w:pPr>
        <w:jc w:val="right"/>
        <w:rPr>
          <w:i/>
        </w:rPr>
      </w:pPr>
    </w:p>
    <w:p w:rsidR="001B3514" w:rsidRDefault="001B3514">
      <w:pPr>
        <w:jc w:val="right"/>
        <w:rPr>
          <w:i/>
        </w:rPr>
      </w:pPr>
    </w:p>
    <w:p w:rsidR="001B3514" w:rsidRDefault="001B3514">
      <w:pPr>
        <w:jc w:val="right"/>
        <w:rPr>
          <w:i/>
        </w:rPr>
      </w:pPr>
    </w:p>
    <w:p w:rsidR="001B3514" w:rsidRDefault="001B3514">
      <w:pPr>
        <w:jc w:val="right"/>
        <w:rPr>
          <w:i/>
        </w:rPr>
      </w:pPr>
    </w:p>
    <w:p w:rsidR="001B3514" w:rsidRDefault="001B3514">
      <w:pPr>
        <w:jc w:val="right"/>
        <w:rPr>
          <w:i/>
        </w:rPr>
      </w:pPr>
    </w:p>
    <w:p w:rsidR="001B3514" w:rsidRDefault="00782E3E">
      <w:pPr>
        <w:jc w:val="right"/>
      </w:pPr>
      <w:r>
        <w:rPr>
          <w:i/>
        </w:rPr>
        <w:t>στο γιο μου Στέφανο, που με ώθησε στο όμορφο αυτό ταξίδι</w:t>
      </w:r>
    </w:p>
    <w:p w:rsidR="001B3514" w:rsidRDefault="001B3514"/>
    <w:p w:rsidR="001B3514" w:rsidRDefault="00782E3E">
      <w:pPr>
        <w:spacing w:after="120" w:line="276" w:lineRule="auto"/>
      </w:pPr>
      <w:r>
        <w:br w:type="page"/>
      </w:r>
    </w:p>
    <w:p w:rsidR="001B3514" w:rsidRDefault="001B3514">
      <w:pPr>
        <w:spacing w:after="120"/>
        <w:jc w:val="center"/>
        <w:rPr>
          <w:rFonts w:eastAsia="Arial Unicode MS" w:cs="Arial Unicode MS"/>
          <w:b/>
          <w:bCs/>
          <w:kern w:val="2"/>
          <w:sz w:val="32"/>
          <w:szCs w:val="36"/>
          <w:lang w:eastAsia="zh-CN" w:bidi="hi-IN"/>
        </w:rPr>
      </w:pPr>
    </w:p>
    <w:p w:rsidR="001B3514" w:rsidRDefault="00782E3E">
      <w:pPr>
        <w:pStyle w:val="1"/>
        <w:rPr>
          <w:lang w:eastAsia="zh-CN" w:bidi="hi-IN"/>
        </w:rPr>
      </w:pPr>
      <w:bookmarkStart w:id="0" w:name="_Toc64641742"/>
      <w:r>
        <w:rPr>
          <w:lang w:eastAsia="zh-CN" w:bidi="hi-IN"/>
        </w:rPr>
        <w:t>Περίληψη</w:t>
      </w:r>
      <w:bookmarkEnd w:id="0"/>
    </w:p>
    <w:p w:rsidR="001B3514" w:rsidRDefault="00782E3E">
      <w:pPr>
        <w:rPr>
          <w:lang w:eastAsia="zh-CN" w:bidi="hi-IN"/>
        </w:rPr>
      </w:pPr>
      <w:r>
        <w:rPr>
          <w:lang w:eastAsia="zh-CN" w:bidi="hi-IN"/>
        </w:rPr>
        <w:t>Η αρτηριακή υπέρταση είναι μια νόσος που συχνά απαντάται στον πληθυσμό των ενηλίκων, χαρακτηρίζεται ως μια χρόνια ασθένεια και η αποτελεσματική της αντιμετώπιση και διαχείριση απαιτεί τη λήψη φαρμακευτικής αγωγής και τη συστηματική παρακολούθηση του ασθενούς. Σκοπός της έρευνας είναι η διερεύνηση του ρόλου της προσωπικότητας και της ψυχοπαθολογίας του ασθενούς στη συμμόρφωση στη θεραπεία της υπέρτασης.</w:t>
      </w:r>
    </w:p>
    <w:p w:rsidR="001B3514" w:rsidRDefault="00782E3E">
      <w:pPr>
        <w:rPr>
          <w:lang w:eastAsia="zh-CN" w:bidi="hi-IN"/>
        </w:rPr>
      </w:pPr>
      <w:r>
        <w:rPr>
          <w:lang w:eastAsia="zh-CN" w:bidi="hi-IN"/>
        </w:rPr>
        <w:t>Για το λόγο αυτό συλλέχθηκε δείγμα 100 ασθενών με υπέρταση οι οποίοι είχαν διαφορετικά κοινωνικοδημογραφικά χαρακτηριστικά. Στους ασθενείς μοιράστηκε ένα ερωτηματολόγιο που δημιουργήθηκε στο πλαίσιο της μελέτης και αποτέλεσε το ερευνητικό εργαλείο και το οποίο αποτελείται από: α) Κλίμακα κοινωνικοδημογραφικών χαρακτηριστικών, β)</w:t>
      </w:r>
      <w:r>
        <w:t xml:space="preserve"> </w:t>
      </w:r>
      <w:r>
        <w:rPr>
          <w:lang w:eastAsia="zh-CN" w:bidi="hi-IN"/>
        </w:rPr>
        <w:t xml:space="preserve">Κλίμακα τήρησης φαρμακευτικής αγωγής Morisky (MMAS-8), γ) Κλίμακα Ψυχοπαθολογίας (SCL-90) δ) Απόψεις για τη λήψη φαρμάκων BMQ (Beliefs about Medicines Questionnaire) και ε) το ερωτηματολόγιο προσωπικότητας Eysenck (EPQ). </w:t>
      </w:r>
    </w:p>
    <w:p w:rsidR="001B3514" w:rsidRDefault="00782E3E">
      <w:pPr>
        <w:rPr>
          <w:lang w:eastAsia="zh-CN" w:bidi="hi-IN"/>
        </w:rPr>
      </w:pPr>
      <w:r>
        <w:rPr>
          <w:lang w:eastAsia="zh-CN" w:bidi="hi-IN"/>
        </w:rPr>
        <w:t>Τα αποτελέσματα της έρευνας έδειξαν πως χαρακτηριστικά όπως το φύλο (</w:t>
      </w:r>
      <w:r>
        <w:rPr>
          <w:lang w:val="en-US" w:eastAsia="zh-CN" w:bidi="hi-IN"/>
        </w:rPr>
        <w:t>p</w:t>
      </w:r>
      <w:r>
        <w:rPr>
          <w:lang w:eastAsia="zh-CN" w:bidi="hi-IN"/>
        </w:rPr>
        <w:t>&lt;0.05), η οικογενειακή κατάσταση(p&lt;0.05), το επίπεδο μόρφωσης(p&lt;0.05), ο υγιεινός τρόπος ζωής, τα οικονομικά προβλήματα και η επίδραση της πανδημίας(p&lt;0.05), είναι παράγοντες που σχετίζονται με τη προσωπικότητα που διαμορφώνουν οι ασθενείς και επηρεάζουν σημαντικά το ποσοστό συμμόρφωσης στη θεραπεία.</w:t>
      </w:r>
    </w:p>
    <w:p w:rsidR="001B3514" w:rsidRDefault="00782E3E">
      <w:pPr>
        <w:rPr>
          <w:lang w:eastAsia="zh-CN" w:bidi="hi-IN"/>
        </w:rPr>
      </w:pPr>
      <w:r>
        <w:rPr>
          <w:lang w:eastAsia="zh-CN" w:bidi="hi-IN"/>
        </w:rPr>
        <w:t>Η ψυχοπαθολογία που έχει αναπτύξει ο ασθενής και η προσωπικότητά του επηρεάζουν τη συμμόρφωση στη θεραπεία της υπέρτασης και την αντίληψη του ασθενούς αναφορικά με τη λήψη φαρμάκων.</w:t>
      </w:r>
    </w:p>
    <w:p w:rsidR="001B3514" w:rsidRDefault="001B3514">
      <w:pPr>
        <w:rPr>
          <w:lang w:eastAsia="zh-CN" w:bidi="hi-IN"/>
        </w:rPr>
      </w:pPr>
    </w:p>
    <w:p w:rsidR="001B3514" w:rsidRDefault="00782E3E">
      <w:pPr>
        <w:rPr>
          <w:lang w:eastAsia="zh-CN" w:bidi="hi-IN"/>
        </w:rPr>
      </w:pPr>
      <w:r>
        <w:rPr>
          <w:b/>
          <w:bCs/>
          <w:lang w:eastAsia="zh-CN" w:bidi="hi-IN"/>
        </w:rPr>
        <w:t>Λέξεις – κλειδιά:</w:t>
      </w:r>
      <w:r>
        <w:rPr>
          <w:lang w:eastAsia="zh-CN" w:bidi="hi-IN"/>
        </w:rPr>
        <w:t xml:space="preserve"> Αρτηριακή υπέρταση, Θεραπεία, Προσωπικότητα, Ψυχοπαθολογία</w:t>
      </w:r>
    </w:p>
    <w:p w:rsidR="001B3514" w:rsidRDefault="00782E3E">
      <w:pPr>
        <w:rPr>
          <w:lang w:eastAsia="zh-CN" w:bidi="hi-IN"/>
        </w:rPr>
      </w:pPr>
      <w:r>
        <w:br w:type="page"/>
      </w:r>
    </w:p>
    <w:p w:rsidR="001B3514" w:rsidRDefault="00782E3E">
      <w:pPr>
        <w:spacing w:after="120"/>
        <w:jc w:val="center"/>
        <w:rPr>
          <w:rFonts w:eastAsia="Times New Roman" w:cs="Times New Roman"/>
          <w:sz w:val="32"/>
          <w:szCs w:val="24"/>
          <w:lang w:val="en-US" w:eastAsia="el-GR"/>
        </w:rPr>
      </w:pPr>
      <w:r>
        <w:rPr>
          <w:rFonts w:eastAsia="Times New Roman" w:cs="Times New Roman"/>
          <w:sz w:val="32"/>
          <w:szCs w:val="24"/>
          <w:lang w:val="en-US" w:eastAsia="el-GR"/>
        </w:rPr>
        <w:lastRenderedPageBreak/>
        <w:t>«The psychological profile of people living with hypertension and its role in their therapeutic compliance»</w:t>
      </w:r>
    </w:p>
    <w:p w:rsidR="001B3514" w:rsidRDefault="001B3514">
      <w:pPr>
        <w:spacing w:after="120"/>
        <w:rPr>
          <w:rFonts w:eastAsia="Times New Roman" w:cs="Times New Roman"/>
          <w:szCs w:val="24"/>
          <w:lang w:val="en-US" w:eastAsia="el-GR"/>
        </w:rPr>
      </w:pPr>
    </w:p>
    <w:p w:rsidR="001B3514" w:rsidRPr="00782E3E" w:rsidRDefault="00782E3E">
      <w:pPr>
        <w:spacing w:after="120"/>
        <w:jc w:val="center"/>
        <w:rPr>
          <w:lang w:val="en-US"/>
        </w:rPr>
      </w:pPr>
      <w:r w:rsidRPr="00782E3E">
        <w:rPr>
          <w:rFonts w:eastAsia="Times New Roman" w:cs="Times New Roman"/>
          <w:sz w:val="28"/>
          <w:szCs w:val="24"/>
          <w:lang w:val="en-US" w:eastAsia="el-GR"/>
        </w:rPr>
        <w:t>« Alexandra Dinas »</w:t>
      </w:r>
      <w:r w:rsidRPr="00782E3E">
        <w:rPr>
          <w:rFonts w:eastAsia="Times New Roman" w:cs="Times New Roman"/>
          <w:sz w:val="28"/>
          <w:szCs w:val="24"/>
          <w:lang w:val="en-US" w:eastAsia="el-GR"/>
        </w:rPr>
        <w:br/>
      </w:r>
    </w:p>
    <w:p w:rsidR="001B3514" w:rsidRDefault="00782E3E">
      <w:pPr>
        <w:pStyle w:val="1"/>
        <w:rPr>
          <w:lang w:val="en-US" w:eastAsia="zh-CN" w:bidi="hi-IN"/>
        </w:rPr>
      </w:pPr>
      <w:bookmarkStart w:id="1" w:name="_Toc64641743"/>
      <w:r>
        <w:rPr>
          <w:lang w:val="en-US" w:eastAsia="zh-CN" w:bidi="hi-IN"/>
        </w:rPr>
        <w:t>Abstract</w:t>
      </w:r>
      <w:bookmarkEnd w:id="1"/>
    </w:p>
    <w:p w:rsidR="001B3514" w:rsidRDefault="00782E3E">
      <w:pPr>
        <w:rPr>
          <w:lang w:val="en-US" w:eastAsia="zh-CN" w:bidi="hi-IN"/>
        </w:rPr>
      </w:pPr>
      <w:r>
        <w:rPr>
          <w:lang w:val="en-US" w:eastAsia="zh-CN" w:bidi="hi-IN"/>
        </w:rPr>
        <w:t>Hypertension is a disease that is often found</w:t>
      </w:r>
      <w:r>
        <w:rPr>
          <w:lang w:val="en-US"/>
        </w:rPr>
        <w:t xml:space="preserve"> </w:t>
      </w:r>
      <w:r>
        <w:rPr>
          <w:lang w:val="en-US" w:eastAsia="zh-CN" w:bidi="hi-IN"/>
        </w:rPr>
        <w:t>in adults, characterized as a chronic disease and its effective treatment and management requires medication and systematic monitoring of the patient. The purpose of the research is to investigate the role of personality and psychopathology of the patient in compliance in the treatment of hypertension.</w:t>
      </w:r>
    </w:p>
    <w:p w:rsidR="001B3514" w:rsidRDefault="00782E3E">
      <w:pPr>
        <w:rPr>
          <w:lang w:val="en-US" w:eastAsia="zh-CN" w:bidi="hi-IN"/>
        </w:rPr>
      </w:pPr>
      <w:r>
        <w:rPr>
          <w:lang w:val="en-US" w:eastAsia="zh-CN" w:bidi="hi-IN"/>
        </w:rPr>
        <w:t>For this reason, a sample of 100 hypertensive patients with different socio-demographic characteristics was collected. The patients were given a questionnaire created during the study and was the research tool which consists of: a) Socio-demographic characteristics scale, b) Morisky medication scale (MMAS-8), c) Psychopathology scale (SCL-90) d) Beliefs about Medicines Questionnaire (BMQ) and e) the Eysenck Personality Questionnaire (EPQ).</w:t>
      </w:r>
    </w:p>
    <w:p w:rsidR="001B3514" w:rsidRDefault="00782E3E">
      <w:pPr>
        <w:rPr>
          <w:lang w:val="en-US" w:eastAsia="zh-CN" w:bidi="hi-IN"/>
        </w:rPr>
      </w:pPr>
      <w:r>
        <w:rPr>
          <w:lang w:val="en-US" w:eastAsia="zh-CN" w:bidi="hi-IN"/>
        </w:rPr>
        <w:t>The results showed that characteristics such as gender (p &lt;0.05), marital status (p &lt;0.05), level of education (p &lt;0.05), healthy lifestyle, financial problems, and the impact of the pandemic (p &lt; 0.05), are factors related to the personality formed by patients and significantly affect the rate of compliance with treatment.</w:t>
      </w:r>
    </w:p>
    <w:p w:rsidR="001B3514" w:rsidRDefault="00782E3E">
      <w:pPr>
        <w:rPr>
          <w:lang w:val="en-US" w:eastAsia="zh-CN" w:bidi="hi-IN"/>
        </w:rPr>
      </w:pPr>
      <w:r>
        <w:rPr>
          <w:lang w:val="en-US" w:eastAsia="zh-CN" w:bidi="hi-IN"/>
        </w:rPr>
        <w:t>The psychopathology developed by the patient and his personality affect compliance with the treatment of hypertension and the patient's perception of medication.</w:t>
      </w:r>
    </w:p>
    <w:p w:rsidR="001B3514" w:rsidRDefault="001B3514">
      <w:pPr>
        <w:rPr>
          <w:lang w:val="en-US" w:eastAsia="zh-CN" w:bidi="hi-IN"/>
        </w:rPr>
      </w:pPr>
    </w:p>
    <w:p w:rsidR="001B3514" w:rsidRDefault="00782E3E">
      <w:pPr>
        <w:rPr>
          <w:lang w:val="en-US" w:eastAsia="zh-CN" w:bidi="hi-IN"/>
        </w:rPr>
      </w:pPr>
      <w:r>
        <w:rPr>
          <w:b/>
          <w:bCs/>
          <w:lang w:val="en-US" w:eastAsia="zh-CN" w:bidi="hi-IN"/>
        </w:rPr>
        <w:t>Keywords:</w:t>
      </w:r>
      <w:r>
        <w:rPr>
          <w:lang w:val="en-US" w:eastAsia="zh-CN" w:bidi="hi-IN"/>
        </w:rPr>
        <w:t xml:space="preserve"> Hypertension, Treatment, Personality, Psychopathology</w:t>
      </w:r>
    </w:p>
    <w:p w:rsidR="001B3514" w:rsidRDefault="00782E3E">
      <w:pPr>
        <w:rPr>
          <w:lang w:val="en-US" w:eastAsia="zh-CN" w:bidi="hi-IN"/>
        </w:rPr>
      </w:pPr>
      <w:r w:rsidRPr="00782E3E">
        <w:rPr>
          <w:lang w:val="en-US"/>
        </w:rPr>
        <w:br w:type="page"/>
      </w:r>
    </w:p>
    <w:p w:rsidR="001B3514" w:rsidRDefault="00782E3E">
      <w:pPr>
        <w:pStyle w:val="ac"/>
        <w:jc w:val="center"/>
      </w:pPr>
      <w:bookmarkStart w:id="2" w:name="_Toc64641744"/>
      <w:bookmarkStart w:id="3" w:name="_Toc64641807"/>
      <w:r>
        <w:rPr>
          <w:rStyle w:val="1Char"/>
          <w:color w:val="00000A"/>
          <w:lang w:val="el-GR"/>
        </w:rPr>
        <w:lastRenderedPageBreak/>
        <w:t>Περιεχόμενα</w:t>
      </w:r>
      <w:bookmarkEnd w:id="2"/>
      <w:bookmarkEnd w:id="3"/>
    </w:p>
    <w:sdt>
      <w:sdtPr>
        <w:id w:val="2135854175"/>
        <w:docPartObj>
          <w:docPartGallery w:val="Table of Contents"/>
          <w:docPartUnique/>
        </w:docPartObj>
      </w:sdtPr>
      <w:sdtContent>
        <w:p w:rsidR="00DB0D21" w:rsidRDefault="00B061D7">
          <w:pPr>
            <w:pStyle w:val="10"/>
            <w:rPr>
              <w:rFonts w:asciiTheme="minorHAnsi" w:eastAsiaTheme="minorEastAsia" w:hAnsiTheme="minorHAnsi"/>
              <w:noProof/>
              <w:color w:val="auto"/>
              <w:sz w:val="22"/>
              <w:lang w:val="en-US"/>
            </w:rPr>
          </w:pPr>
          <w:r>
            <w:fldChar w:fldCharType="begin"/>
          </w:r>
          <w:r w:rsidR="00782E3E">
            <w:rPr>
              <w:rStyle w:val="a6"/>
              <w:webHidden/>
            </w:rPr>
            <w:instrText>TOC \z \o "1-3" \u \h</w:instrText>
          </w:r>
          <w:r w:rsidRPr="00B061D7">
            <w:rPr>
              <w:rStyle w:val="a6"/>
            </w:rPr>
            <w:fldChar w:fldCharType="separate"/>
          </w:r>
          <w:hyperlink w:anchor="_Toc64641742" w:history="1">
            <w:r w:rsidR="00DB0D21" w:rsidRPr="00BB02B6">
              <w:rPr>
                <w:rStyle w:val="-"/>
                <w:noProof/>
                <w:lang w:eastAsia="zh-CN" w:bidi="hi-IN"/>
              </w:rPr>
              <w:t>Περίληψη</w:t>
            </w:r>
            <w:r w:rsidR="00DB0D21">
              <w:rPr>
                <w:noProof/>
                <w:webHidden/>
              </w:rPr>
              <w:tab/>
            </w:r>
            <w:r>
              <w:rPr>
                <w:noProof/>
                <w:webHidden/>
              </w:rPr>
              <w:fldChar w:fldCharType="begin"/>
            </w:r>
            <w:r w:rsidR="00DB0D21">
              <w:rPr>
                <w:noProof/>
                <w:webHidden/>
              </w:rPr>
              <w:instrText xml:space="preserve"> PAGEREF _Toc64641742 \h </w:instrText>
            </w:r>
            <w:r>
              <w:rPr>
                <w:noProof/>
                <w:webHidden/>
              </w:rPr>
            </w:r>
            <w:r>
              <w:rPr>
                <w:noProof/>
                <w:webHidden/>
              </w:rPr>
              <w:fldChar w:fldCharType="separate"/>
            </w:r>
            <w:r w:rsidR="000C5A2E">
              <w:rPr>
                <w:noProof/>
                <w:webHidden/>
              </w:rPr>
              <w:t>5</w:t>
            </w:r>
            <w:r>
              <w:rPr>
                <w:noProof/>
                <w:webHidden/>
              </w:rPr>
              <w:fldChar w:fldCharType="end"/>
            </w:r>
          </w:hyperlink>
        </w:p>
        <w:p w:rsidR="00DB0D21" w:rsidRDefault="00B061D7">
          <w:pPr>
            <w:pStyle w:val="10"/>
            <w:rPr>
              <w:rFonts w:asciiTheme="minorHAnsi" w:eastAsiaTheme="minorEastAsia" w:hAnsiTheme="minorHAnsi"/>
              <w:noProof/>
              <w:color w:val="auto"/>
              <w:sz w:val="22"/>
              <w:lang w:val="en-US"/>
            </w:rPr>
          </w:pPr>
          <w:hyperlink w:anchor="_Toc64641743" w:history="1">
            <w:r w:rsidR="00DB0D21" w:rsidRPr="00BB02B6">
              <w:rPr>
                <w:rStyle w:val="-"/>
                <w:noProof/>
                <w:lang w:val="en-US" w:eastAsia="zh-CN" w:bidi="hi-IN"/>
              </w:rPr>
              <w:t>Abstract</w:t>
            </w:r>
            <w:r w:rsidR="00DB0D21">
              <w:rPr>
                <w:noProof/>
                <w:webHidden/>
              </w:rPr>
              <w:tab/>
            </w:r>
            <w:r>
              <w:rPr>
                <w:noProof/>
                <w:webHidden/>
              </w:rPr>
              <w:fldChar w:fldCharType="begin"/>
            </w:r>
            <w:r w:rsidR="00DB0D21">
              <w:rPr>
                <w:noProof/>
                <w:webHidden/>
              </w:rPr>
              <w:instrText xml:space="preserve"> PAGEREF _Toc64641743 \h </w:instrText>
            </w:r>
            <w:r>
              <w:rPr>
                <w:noProof/>
                <w:webHidden/>
              </w:rPr>
            </w:r>
            <w:r>
              <w:rPr>
                <w:noProof/>
                <w:webHidden/>
              </w:rPr>
              <w:fldChar w:fldCharType="separate"/>
            </w:r>
            <w:r w:rsidR="000C5A2E">
              <w:rPr>
                <w:noProof/>
                <w:webHidden/>
              </w:rPr>
              <w:t>6</w:t>
            </w:r>
            <w:r>
              <w:rPr>
                <w:noProof/>
                <w:webHidden/>
              </w:rPr>
              <w:fldChar w:fldCharType="end"/>
            </w:r>
          </w:hyperlink>
        </w:p>
        <w:p w:rsidR="00DB0D21" w:rsidRDefault="00B061D7">
          <w:pPr>
            <w:pStyle w:val="10"/>
            <w:rPr>
              <w:rFonts w:asciiTheme="minorHAnsi" w:eastAsiaTheme="minorEastAsia" w:hAnsiTheme="minorHAnsi"/>
              <w:noProof/>
              <w:color w:val="auto"/>
              <w:sz w:val="22"/>
              <w:lang w:val="en-US"/>
            </w:rPr>
          </w:pPr>
          <w:hyperlink w:anchor="_Toc64641744" w:history="1">
            <w:r w:rsidR="00DB0D21" w:rsidRPr="00BB02B6">
              <w:rPr>
                <w:rStyle w:val="-"/>
                <w:b/>
                <w:noProof/>
              </w:rPr>
              <w:t>Περιεχόμενα</w:t>
            </w:r>
            <w:r w:rsidR="00DB0D21">
              <w:rPr>
                <w:noProof/>
                <w:webHidden/>
              </w:rPr>
              <w:tab/>
            </w:r>
            <w:r>
              <w:rPr>
                <w:noProof/>
                <w:webHidden/>
              </w:rPr>
              <w:fldChar w:fldCharType="begin"/>
            </w:r>
            <w:r w:rsidR="00DB0D21">
              <w:rPr>
                <w:noProof/>
                <w:webHidden/>
              </w:rPr>
              <w:instrText xml:space="preserve"> PAGEREF _Toc64641744 \h </w:instrText>
            </w:r>
            <w:r>
              <w:rPr>
                <w:noProof/>
                <w:webHidden/>
              </w:rPr>
            </w:r>
            <w:r>
              <w:rPr>
                <w:noProof/>
                <w:webHidden/>
              </w:rPr>
              <w:fldChar w:fldCharType="separate"/>
            </w:r>
            <w:r w:rsidR="000C5A2E">
              <w:rPr>
                <w:noProof/>
                <w:webHidden/>
              </w:rPr>
              <w:t>7</w:t>
            </w:r>
            <w:r>
              <w:rPr>
                <w:noProof/>
                <w:webHidden/>
              </w:rPr>
              <w:fldChar w:fldCharType="end"/>
            </w:r>
          </w:hyperlink>
        </w:p>
        <w:p w:rsidR="00DB0D21" w:rsidRDefault="00B061D7">
          <w:pPr>
            <w:pStyle w:val="10"/>
            <w:rPr>
              <w:rFonts w:asciiTheme="minorHAnsi" w:eastAsiaTheme="minorEastAsia" w:hAnsiTheme="minorHAnsi"/>
              <w:noProof/>
              <w:color w:val="auto"/>
              <w:sz w:val="22"/>
              <w:lang w:val="en-US"/>
            </w:rPr>
          </w:pPr>
          <w:hyperlink w:anchor="_Toc64641745" w:history="1">
            <w:r w:rsidR="00DB0D21" w:rsidRPr="00BB02B6">
              <w:rPr>
                <w:rStyle w:val="-"/>
                <w:noProof/>
                <w:lang w:eastAsia="zh-CN" w:bidi="hi-IN"/>
              </w:rPr>
              <w:t>Κατάλογος Πινάκων</w:t>
            </w:r>
            <w:r w:rsidR="00DB0D21">
              <w:rPr>
                <w:noProof/>
                <w:webHidden/>
              </w:rPr>
              <w:tab/>
            </w:r>
            <w:r>
              <w:rPr>
                <w:noProof/>
                <w:webHidden/>
              </w:rPr>
              <w:fldChar w:fldCharType="begin"/>
            </w:r>
            <w:r w:rsidR="00DB0D21">
              <w:rPr>
                <w:noProof/>
                <w:webHidden/>
              </w:rPr>
              <w:instrText xml:space="preserve"> PAGEREF _Toc64641745 \h </w:instrText>
            </w:r>
            <w:r>
              <w:rPr>
                <w:noProof/>
                <w:webHidden/>
              </w:rPr>
            </w:r>
            <w:r>
              <w:rPr>
                <w:noProof/>
                <w:webHidden/>
              </w:rPr>
              <w:fldChar w:fldCharType="separate"/>
            </w:r>
            <w:r w:rsidR="000C5A2E">
              <w:rPr>
                <w:noProof/>
                <w:webHidden/>
              </w:rPr>
              <w:t>9</w:t>
            </w:r>
            <w:r>
              <w:rPr>
                <w:noProof/>
                <w:webHidden/>
              </w:rPr>
              <w:fldChar w:fldCharType="end"/>
            </w:r>
          </w:hyperlink>
        </w:p>
        <w:p w:rsidR="00DB0D21" w:rsidRDefault="00B061D7">
          <w:pPr>
            <w:pStyle w:val="10"/>
            <w:rPr>
              <w:rFonts w:asciiTheme="minorHAnsi" w:eastAsiaTheme="minorEastAsia" w:hAnsiTheme="minorHAnsi"/>
              <w:noProof/>
              <w:color w:val="auto"/>
              <w:sz w:val="22"/>
              <w:lang w:val="en-US"/>
            </w:rPr>
          </w:pPr>
          <w:hyperlink w:anchor="_Toc64641746" w:history="1">
            <w:r w:rsidR="00DB0D21" w:rsidRPr="00BB02B6">
              <w:rPr>
                <w:rStyle w:val="-"/>
                <w:noProof/>
                <w:lang w:eastAsia="zh-CN" w:bidi="hi-IN"/>
              </w:rPr>
              <w:t>Εισαγωγή</w:t>
            </w:r>
            <w:r w:rsidR="00DB0D21">
              <w:rPr>
                <w:noProof/>
                <w:webHidden/>
              </w:rPr>
              <w:tab/>
            </w:r>
            <w:r>
              <w:rPr>
                <w:noProof/>
                <w:webHidden/>
              </w:rPr>
              <w:fldChar w:fldCharType="begin"/>
            </w:r>
            <w:r w:rsidR="00DB0D21">
              <w:rPr>
                <w:noProof/>
                <w:webHidden/>
              </w:rPr>
              <w:instrText xml:space="preserve"> PAGEREF _Toc64641746 \h </w:instrText>
            </w:r>
            <w:r>
              <w:rPr>
                <w:noProof/>
                <w:webHidden/>
              </w:rPr>
            </w:r>
            <w:r>
              <w:rPr>
                <w:noProof/>
                <w:webHidden/>
              </w:rPr>
              <w:fldChar w:fldCharType="separate"/>
            </w:r>
            <w:r w:rsidR="000C5A2E">
              <w:rPr>
                <w:noProof/>
                <w:webHidden/>
              </w:rPr>
              <w:t>11</w:t>
            </w:r>
            <w:r>
              <w:rPr>
                <w:noProof/>
                <w:webHidden/>
              </w:rPr>
              <w:fldChar w:fldCharType="end"/>
            </w:r>
          </w:hyperlink>
        </w:p>
        <w:p w:rsidR="00DB0D21" w:rsidRDefault="00B061D7">
          <w:pPr>
            <w:pStyle w:val="10"/>
            <w:rPr>
              <w:rFonts w:asciiTheme="minorHAnsi" w:eastAsiaTheme="minorEastAsia" w:hAnsiTheme="minorHAnsi"/>
              <w:noProof/>
              <w:color w:val="auto"/>
              <w:sz w:val="22"/>
              <w:lang w:val="en-US"/>
            </w:rPr>
          </w:pPr>
          <w:hyperlink w:anchor="_Toc64641747" w:history="1">
            <w:r w:rsidR="00DB0D21" w:rsidRPr="00BB02B6">
              <w:rPr>
                <w:rStyle w:val="-"/>
                <w:noProof/>
                <w:lang w:eastAsia="zh-CN" w:bidi="hi-IN"/>
              </w:rPr>
              <w:t>1. Υγεία-νόσος-μοντέλα υγείας</w:t>
            </w:r>
            <w:r w:rsidR="00DB0D21">
              <w:rPr>
                <w:noProof/>
                <w:webHidden/>
              </w:rPr>
              <w:tab/>
            </w:r>
            <w:r>
              <w:rPr>
                <w:noProof/>
                <w:webHidden/>
              </w:rPr>
              <w:fldChar w:fldCharType="begin"/>
            </w:r>
            <w:r w:rsidR="00DB0D21">
              <w:rPr>
                <w:noProof/>
                <w:webHidden/>
              </w:rPr>
              <w:instrText xml:space="preserve"> PAGEREF _Toc64641747 \h </w:instrText>
            </w:r>
            <w:r>
              <w:rPr>
                <w:noProof/>
                <w:webHidden/>
              </w:rPr>
            </w:r>
            <w:r>
              <w:rPr>
                <w:noProof/>
                <w:webHidden/>
              </w:rPr>
              <w:fldChar w:fldCharType="separate"/>
            </w:r>
            <w:r w:rsidR="000C5A2E">
              <w:rPr>
                <w:noProof/>
                <w:webHidden/>
              </w:rPr>
              <w:t>12</w:t>
            </w:r>
            <w:r>
              <w:rPr>
                <w:noProof/>
                <w:webHidden/>
              </w:rPr>
              <w:fldChar w:fldCharType="end"/>
            </w:r>
          </w:hyperlink>
        </w:p>
        <w:p w:rsidR="00DB0D21" w:rsidRDefault="00B061D7">
          <w:pPr>
            <w:pStyle w:val="20"/>
            <w:tabs>
              <w:tab w:val="right" w:leader="dot" w:pos="9350"/>
            </w:tabs>
            <w:rPr>
              <w:rFonts w:asciiTheme="minorHAnsi" w:eastAsiaTheme="minorEastAsia" w:hAnsiTheme="minorHAnsi"/>
              <w:noProof/>
              <w:color w:val="auto"/>
              <w:sz w:val="22"/>
              <w:lang w:val="en-US"/>
            </w:rPr>
          </w:pPr>
          <w:hyperlink w:anchor="_Toc64641748" w:history="1">
            <w:r w:rsidR="00DB0D21" w:rsidRPr="00BB02B6">
              <w:rPr>
                <w:rStyle w:val="-"/>
                <w:noProof/>
                <w:lang w:eastAsia="zh-CN" w:bidi="hi-IN"/>
              </w:rPr>
              <w:t>1.1 Ιστορική αναδρομή</w:t>
            </w:r>
            <w:r w:rsidR="00DB0D21">
              <w:rPr>
                <w:noProof/>
                <w:webHidden/>
              </w:rPr>
              <w:tab/>
            </w:r>
            <w:r>
              <w:rPr>
                <w:noProof/>
                <w:webHidden/>
              </w:rPr>
              <w:fldChar w:fldCharType="begin"/>
            </w:r>
            <w:r w:rsidR="00DB0D21">
              <w:rPr>
                <w:noProof/>
                <w:webHidden/>
              </w:rPr>
              <w:instrText xml:space="preserve"> PAGEREF _Toc64641748 \h </w:instrText>
            </w:r>
            <w:r>
              <w:rPr>
                <w:noProof/>
                <w:webHidden/>
              </w:rPr>
            </w:r>
            <w:r>
              <w:rPr>
                <w:noProof/>
                <w:webHidden/>
              </w:rPr>
              <w:fldChar w:fldCharType="separate"/>
            </w:r>
            <w:r w:rsidR="000C5A2E">
              <w:rPr>
                <w:noProof/>
                <w:webHidden/>
              </w:rPr>
              <w:t>12</w:t>
            </w:r>
            <w:r>
              <w:rPr>
                <w:noProof/>
                <w:webHidden/>
              </w:rPr>
              <w:fldChar w:fldCharType="end"/>
            </w:r>
          </w:hyperlink>
        </w:p>
        <w:p w:rsidR="00DB0D21" w:rsidRDefault="00B061D7">
          <w:pPr>
            <w:pStyle w:val="20"/>
            <w:tabs>
              <w:tab w:val="right" w:leader="dot" w:pos="9350"/>
            </w:tabs>
            <w:rPr>
              <w:rFonts w:asciiTheme="minorHAnsi" w:eastAsiaTheme="minorEastAsia" w:hAnsiTheme="minorHAnsi"/>
              <w:noProof/>
              <w:color w:val="auto"/>
              <w:sz w:val="22"/>
              <w:lang w:val="en-US"/>
            </w:rPr>
          </w:pPr>
          <w:hyperlink w:anchor="_Toc64641749" w:history="1">
            <w:r w:rsidR="00DB0D21" w:rsidRPr="00BB02B6">
              <w:rPr>
                <w:rStyle w:val="-"/>
                <w:noProof/>
                <w:lang w:eastAsia="zh-CN" w:bidi="hi-IN"/>
              </w:rPr>
              <w:t>1.2 Προσέγγιση της έννοιας αρτηριακή υπέρταση</w:t>
            </w:r>
            <w:r w:rsidR="00DB0D21">
              <w:rPr>
                <w:noProof/>
                <w:webHidden/>
              </w:rPr>
              <w:tab/>
            </w:r>
            <w:r>
              <w:rPr>
                <w:noProof/>
                <w:webHidden/>
              </w:rPr>
              <w:fldChar w:fldCharType="begin"/>
            </w:r>
            <w:r w:rsidR="00DB0D21">
              <w:rPr>
                <w:noProof/>
                <w:webHidden/>
              </w:rPr>
              <w:instrText xml:space="preserve"> PAGEREF _Toc64641749 \h </w:instrText>
            </w:r>
            <w:r>
              <w:rPr>
                <w:noProof/>
                <w:webHidden/>
              </w:rPr>
            </w:r>
            <w:r>
              <w:rPr>
                <w:noProof/>
                <w:webHidden/>
              </w:rPr>
              <w:fldChar w:fldCharType="separate"/>
            </w:r>
            <w:r w:rsidR="000C5A2E">
              <w:rPr>
                <w:noProof/>
                <w:webHidden/>
              </w:rPr>
              <w:t>14</w:t>
            </w:r>
            <w:r>
              <w:rPr>
                <w:noProof/>
                <w:webHidden/>
              </w:rPr>
              <w:fldChar w:fldCharType="end"/>
            </w:r>
          </w:hyperlink>
        </w:p>
        <w:p w:rsidR="00DB0D21" w:rsidRDefault="00B061D7">
          <w:pPr>
            <w:pStyle w:val="20"/>
            <w:tabs>
              <w:tab w:val="right" w:leader="dot" w:pos="9350"/>
            </w:tabs>
            <w:rPr>
              <w:rFonts w:asciiTheme="minorHAnsi" w:eastAsiaTheme="minorEastAsia" w:hAnsiTheme="minorHAnsi"/>
              <w:noProof/>
              <w:color w:val="auto"/>
              <w:sz w:val="22"/>
              <w:lang w:val="en-US"/>
            </w:rPr>
          </w:pPr>
          <w:hyperlink w:anchor="_Toc64641750" w:history="1">
            <w:r w:rsidR="00DB0D21" w:rsidRPr="00BB02B6">
              <w:rPr>
                <w:rStyle w:val="-"/>
                <w:noProof/>
                <w:lang w:eastAsia="zh-CN" w:bidi="hi-IN"/>
              </w:rPr>
              <w:t>1.3 Δεδομένα από τον ελλαδικό χώρο</w:t>
            </w:r>
            <w:r w:rsidR="00DB0D21">
              <w:rPr>
                <w:noProof/>
                <w:webHidden/>
              </w:rPr>
              <w:tab/>
            </w:r>
            <w:r>
              <w:rPr>
                <w:noProof/>
                <w:webHidden/>
              </w:rPr>
              <w:fldChar w:fldCharType="begin"/>
            </w:r>
            <w:r w:rsidR="00DB0D21">
              <w:rPr>
                <w:noProof/>
                <w:webHidden/>
              </w:rPr>
              <w:instrText xml:space="preserve"> PAGEREF _Toc64641750 \h </w:instrText>
            </w:r>
            <w:r>
              <w:rPr>
                <w:noProof/>
                <w:webHidden/>
              </w:rPr>
            </w:r>
            <w:r>
              <w:rPr>
                <w:noProof/>
                <w:webHidden/>
              </w:rPr>
              <w:fldChar w:fldCharType="separate"/>
            </w:r>
            <w:r w:rsidR="000C5A2E">
              <w:rPr>
                <w:noProof/>
                <w:webHidden/>
              </w:rPr>
              <w:t>16</w:t>
            </w:r>
            <w:r>
              <w:rPr>
                <w:noProof/>
                <w:webHidden/>
              </w:rPr>
              <w:fldChar w:fldCharType="end"/>
            </w:r>
          </w:hyperlink>
        </w:p>
        <w:p w:rsidR="00DB0D21" w:rsidRDefault="00B061D7">
          <w:pPr>
            <w:pStyle w:val="20"/>
            <w:tabs>
              <w:tab w:val="right" w:leader="dot" w:pos="9350"/>
            </w:tabs>
            <w:rPr>
              <w:rFonts w:asciiTheme="minorHAnsi" w:eastAsiaTheme="minorEastAsia" w:hAnsiTheme="minorHAnsi"/>
              <w:noProof/>
              <w:color w:val="auto"/>
              <w:sz w:val="22"/>
              <w:lang w:val="en-US"/>
            </w:rPr>
          </w:pPr>
          <w:hyperlink w:anchor="_Toc64641751" w:history="1">
            <w:r w:rsidR="00DB0D21" w:rsidRPr="00BB02B6">
              <w:rPr>
                <w:rStyle w:val="-"/>
                <w:noProof/>
                <w:lang w:eastAsia="zh-CN" w:bidi="hi-IN"/>
              </w:rPr>
              <w:t xml:space="preserve">1.4 Ταξινόμηση της αρτηριακής πίεσης και ορισμοί των σταδίων υπέρτασης </w:t>
            </w:r>
            <w:r w:rsidR="00DB0D21" w:rsidRPr="00BB02B6">
              <w:rPr>
                <w:rStyle w:val="-"/>
                <w:noProof/>
                <w:vertAlign w:val="superscript"/>
                <w:lang w:eastAsia="zh-CN" w:bidi="hi-IN"/>
              </w:rPr>
              <w:t>β</w:t>
            </w:r>
            <w:r w:rsidR="00DB0D21" w:rsidRPr="00BB02B6">
              <w:rPr>
                <w:rStyle w:val="-"/>
                <w:noProof/>
                <w:lang w:eastAsia="zh-CN" w:bidi="hi-IN"/>
              </w:rPr>
              <w:t>(ESC 2018)</w:t>
            </w:r>
            <w:r w:rsidR="00DB0D21">
              <w:rPr>
                <w:noProof/>
                <w:webHidden/>
              </w:rPr>
              <w:tab/>
            </w:r>
            <w:r>
              <w:rPr>
                <w:noProof/>
                <w:webHidden/>
              </w:rPr>
              <w:fldChar w:fldCharType="begin"/>
            </w:r>
            <w:r w:rsidR="00DB0D21">
              <w:rPr>
                <w:noProof/>
                <w:webHidden/>
              </w:rPr>
              <w:instrText xml:space="preserve"> PAGEREF _Toc64641751 \h </w:instrText>
            </w:r>
            <w:r>
              <w:rPr>
                <w:noProof/>
                <w:webHidden/>
              </w:rPr>
            </w:r>
            <w:r>
              <w:rPr>
                <w:noProof/>
                <w:webHidden/>
              </w:rPr>
              <w:fldChar w:fldCharType="separate"/>
            </w:r>
            <w:r w:rsidR="000C5A2E">
              <w:rPr>
                <w:noProof/>
                <w:webHidden/>
              </w:rPr>
              <w:t>16</w:t>
            </w:r>
            <w:r>
              <w:rPr>
                <w:noProof/>
                <w:webHidden/>
              </w:rPr>
              <w:fldChar w:fldCharType="end"/>
            </w:r>
          </w:hyperlink>
        </w:p>
        <w:p w:rsidR="00DB0D21" w:rsidRDefault="00B061D7">
          <w:pPr>
            <w:pStyle w:val="20"/>
            <w:tabs>
              <w:tab w:val="right" w:leader="dot" w:pos="9350"/>
            </w:tabs>
            <w:rPr>
              <w:rFonts w:asciiTheme="minorHAnsi" w:eastAsiaTheme="minorEastAsia" w:hAnsiTheme="minorHAnsi"/>
              <w:noProof/>
              <w:color w:val="auto"/>
              <w:sz w:val="22"/>
              <w:lang w:val="en-US"/>
            </w:rPr>
          </w:pPr>
          <w:hyperlink w:anchor="_Toc64641752" w:history="1">
            <w:r w:rsidR="00DB0D21" w:rsidRPr="00BB02B6">
              <w:rPr>
                <w:rStyle w:val="-"/>
                <w:noProof/>
                <w:lang w:eastAsia="zh-CN" w:bidi="hi-IN"/>
              </w:rPr>
              <w:t>1.5 Στρες και υπέρταση</w:t>
            </w:r>
            <w:r w:rsidR="00DB0D21">
              <w:rPr>
                <w:noProof/>
                <w:webHidden/>
              </w:rPr>
              <w:tab/>
            </w:r>
            <w:r>
              <w:rPr>
                <w:noProof/>
                <w:webHidden/>
              </w:rPr>
              <w:fldChar w:fldCharType="begin"/>
            </w:r>
            <w:r w:rsidR="00DB0D21">
              <w:rPr>
                <w:noProof/>
                <w:webHidden/>
              </w:rPr>
              <w:instrText xml:space="preserve"> PAGEREF _Toc64641752 \h </w:instrText>
            </w:r>
            <w:r>
              <w:rPr>
                <w:noProof/>
                <w:webHidden/>
              </w:rPr>
            </w:r>
            <w:r>
              <w:rPr>
                <w:noProof/>
                <w:webHidden/>
              </w:rPr>
              <w:fldChar w:fldCharType="separate"/>
            </w:r>
            <w:r w:rsidR="000C5A2E">
              <w:rPr>
                <w:noProof/>
                <w:webHidden/>
              </w:rPr>
              <w:t>18</w:t>
            </w:r>
            <w:r>
              <w:rPr>
                <w:noProof/>
                <w:webHidden/>
              </w:rPr>
              <w:fldChar w:fldCharType="end"/>
            </w:r>
          </w:hyperlink>
        </w:p>
        <w:p w:rsidR="00DB0D21" w:rsidRDefault="00B061D7">
          <w:pPr>
            <w:pStyle w:val="30"/>
            <w:tabs>
              <w:tab w:val="right" w:leader="dot" w:pos="9350"/>
            </w:tabs>
            <w:rPr>
              <w:rFonts w:asciiTheme="minorHAnsi" w:eastAsiaTheme="minorEastAsia" w:hAnsiTheme="minorHAnsi"/>
              <w:noProof/>
              <w:color w:val="auto"/>
              <w:sz w:val="22"/>
              <w:lang w:val="en-US"/>
            </w:rPr>
          </w:pPr>
          <w:hyperlink w:anchor="_Toc64641753" w:history="1">
            <w:r w:rsidR="00DB0D21" w:rsidRPr="00BB02B6">
              <w:rPr>
                <w:rStyle w:val="-"/>
                <w:noProof/>
                <w:lang w:eastAsia="zh-CN" w:bidi="hi-IN"/>
              </w:rPr>
              <w:t>1.5.1 Λειτουργικές αντιδράσεις στο στρες</w:t>
            </w:r>
            <w:r w:rsidR="00DB0D21">
              <w:rPr>
                <w:noProof/>
                <w:webHidden/>
              </w:rPr>
              <w:tab/>
            </w:r>
            <w:r>
              <w:rPr>
                <w:noProof/>
                <w:webHidden/>
              </w:rPr>
              <w:fldChar w:fldCharType="begin"/>
            </w:r>
            <w:r w:rsidR="00DB0D21">
              <w:rPr>
                <w:noProof/>
                <w:webHidden/>
              </w:rPr>
              <w:instrText xml:space="preserve"> PAGEREF _Toc64641753 \h </w:instrText>
            </w:r>
            <w:r>
              <w:rPr>
                <w:noProof/>
                <w:webHidden/>
              </w:rPr>
            </w:r>
            <w:r>
              <w:rPr>
                <w:noProof/>
                <w:webHidden/>
              </w:rPr>
              <w:fldChar w:fldCharType="separate"/>
            </w:r>
            <w:r w:rsidR="000C5A2E">
              <w:rPr>
                <w:noProof/>
                <w:webHidden/>
              </w:rPr>
              <w:t>20</w:t>
            </w:r>
            <w:r>
              <w:rPr>
                <w:noProof/>
                <w:webHidden/>
              </w:rPr>
              <w:fldChar w:fldCharType="end"/>
            </w:r>
          </w:hyperlink>
        </w:p>
        <w:p w:rsidR="00DB0D21" w:rsidRDefault="00B061D7">
          <w:pPr>
            <w:pStyle w:val="30"/>
            <w:tabs>
              <w:tab w:val="right" w:leader="dot" w:pos="9350"/>
            </w:tabs>
            <w:rPr>
              <w:rFonts w:asciiTheme="minorHAnsi" w:eastAsiaTheme="minorEastAsia" w:hAnsiTheme="minorHAnsi"/>
              <w:noProof/>
              <w:color w:val="auto"/>
              <w:sz w:val="22"/>
              <w:lang w:val="en-US"/>
            </w:rPr>
          </w:pPr>
          <w:hyperlink w:anchor="_Toc64641754" w:history="1">
            <w:r w:rsidR="00DB0D21" w:rsidRPr="00BB02B6">
              <w:rPr>
                <w:rStyle w:val="-"/>
                <w:noProof/>
                <w:lang w:eastAsia="zh-CN" w:bidi="hi-IN"/>
              </w:rPr>
              <w:t>1.5.2 Στοιχεία προσωπικότητας υπερτασικών</w:t>
            </w:r>
            <w:r w:rsidR="00DB0D21">
              <w:rPr>
                <w:noProof/>
                <w:webHidden/>
              </w:rPr>
              <w:tab/>
            </w:r>
            <w:r>
              <w:rPr>
                <w:noProof/>
                <w:webHidden/>
              </w:rPr>
              <w:fldChar w:fldCharType="begin"/>
            </w:r>
            <w:r w:rsidR="00DB0D21">
              <w:rPr>
                <w:noProof/>
                <w:webHidden/>
              </w:rPr>
              <w:instrText xml:space="preserve"> PAGEREF _Toc64641754 \h </w:instrText>
            </w:r>
            <w:r>
              <w:rPr>
                <w:noProof/>
                <w:webHidden/>
              </w:rPr>
            </w:r>
            <w:r>
              <w:rPr>
                <w:noProof/>
                <w:webHidden/>
              </w:rPr>
              <w:fldChar w:fldCharType="separate"/>
            </w:r>
            <w:r w:rsidR="000C5A2E">
              <w:rPr>
                <w:noProof/>
                <w:webHidden/>
              </w:rPr>
              <w:t>21</w:t>
            </w:r>
            <w:r>
              <w:rPr>
                <w:noProof/>
                <w:webHidden/>
              </w:rPr>
              <w:fldChar w:fldCharType="end"/>
            </w:r>
          </w:hyperlink>
        </w:p>
        <w:p w:rsidR="00DB0D21" w:rsidRDefault="00B061D7">
          <w:pPr>
            <w:pStyle w:val="10"/>
            <w:rPr>
              <w:rFonts w:asciiTheme="minorHAnsi" w:eastAsiaTheme="minorEastAsia" w:hAnsiTheme="minorHAnsi"/>
              <w:noProof/>
              <w:color w:val="auto"/>
              <w:sz w:val="22"/>
              <w:lang w:val="en-US"/>
            </w:rPr>
          </w:pPr>
          <w:hyperlink w:anchor="_Toc64641755" w:history="1">
            <w:r w:rsidR="00DB0D21" w:rsidRPr="00BB02B6">
              <w:rPr>
                <w:rStyle w:val="-"/>
                <w:noProof/>
                <w:lang w:eastAsia="zh-CN" w:bidi="hi-IN"/>
              </w:rPr>
              <w:t>2. Φάσεις νόσου υπέρτασης και ψυχολογική αντίδραση</w:t>
            </w:r>
            <w:r w:rsidR="00DB0D21">
              <w:rPr>
                <w:noProof/>
                <w:webHidden/>
              </w:rPr>
              <w:tab/>
            </w:r>
            <w:r>
              <w:rPr>
                <w:noProof/>
                <w:webHidden/>
              </w:rPr>
              <w:fldChar w:fldCharType="begin"/>
            </w:r>
            <w:r w:rsidR="00DB0D21">
              <w:rPr>
                <w:noProof/>
                <w:webHidden/>
              </w:rPr>
              <w:instrText xml:space="preserve"> PAGEREF _Toc64641755 \h </w:instrText>
            </w:r>
            <w:r>
              <w:rPr>
                <w:noProof/>
                <w:webHidden/>
              </w:rPr>
            </w:r>
            <w:r>
              <w:rPr>
                <w:noProof/>
                <w:webHidden/>
              </w:rPr>
              <w:fldChar w:fldCharType="separate"/>
            </w:r>
            <w:r w:rsidR="000C5A2E">
              <w:rPr>
                <w:noProof/>
                <w:webHidden/>
              </w:rPr>
              <w:t>23</w:t>
            </w:r>
            <w:r>
              <w:rPr>
                <w:noProof/>
                <w:webHidden/>
              </w:rPr>
              <w:fldChar w:fldCharType="end"/>
            </w:r>
          </w:hyperlink>
        </w:p>
        <w:p w:rsidR="00DB0D21" w:rsidRDefault="00B061D7">
          <w:pPr>
            <w:pStyle w:val="20"/>
            <w:tabs>
              <w:tab w:val="right" w:leader="dot" w:pos="9350"/>
            </w:tabs>
            <w:rPr>
              <w:rFonts w:asciiTheme="minorHAnsi" w:eastAsiaTheme="minorEastAsia" w:hAnsiTheme="minorHAnsi"/>
              <w:noProof/>
              <w:color w:val="auto"/>
              <w:sz w:val="22"/>
              <w:lang w:val="en-US"/>
            </w:rPr>
          </w:pPr>
          <w:hyperlink w:anchor="_Toc64641756" w:history="1">
            <w:r w:rsidR="00DB0D21" w:rsidRPr="00BB02B6">
              <w:rPr>
                <w:rStyle w:val="-"/>
                <w:noProof/>
              </w:rPr>
              <w:t xml:space="preserve">2.1 </w:t>
            </w:r>
            <w:r w:rsidR="00DB0D21" w:rsidRPr="00BB02B6">
              <w:rPr>
                <w:rStyle w:val="-"/>
                <w:noProof/>
                <w:lang w:bidi="hi-IN"/>
              </w:rPr>
              <w:t>Προσαρμογή στην χρόνια νόσο - Κοινωνικογνωστικά σχήματα -μοντέλα νόσου</w:t>
            </w:r>
            <w:r w:rsidR="00DB0D21">
              <w:rPr>
                <w:noProof/>
                <w:webHidden/>
              </w:rPr>
              <w:tab/>
            </w:r>
            <w:r>
              <w:rPr>
                <w:noProof/>
                <w:webHidden/>
              </w:rPr>
              <w:fldChar w:fldCharType="begin"/>
            </w:r>
            <w:r w:rsidR="00DB0D21">
              <w:rPr>
                <w:noProof/>
                <w:webHidden/>
              </w:rPr>
              <w:instrText xml:space="preserve"> PAGEREF _Toc64641756 \h </w:instrText>
            </w:r>
            <w:r>
              <w:rPr>
                <w:noProof/>
                <w:webHidden/>
              </w:rPr>
            </w:r>
            <w:r>
              <w:rPr>
                <w:noProof/>
                <w:webHidden/>
              </w:rPr>
              <w:fldChar w:fldCharType="separate"/>
            </w:r>
            <w:r w:rsidR="000C5A2E">
              <w:rPr>
                <w:noProof/>
                <w:webHidden/>
              </w:rPr>
              <w:t>24</w:t>
            </w:r>
            <w:r>
              <w:rPr>
                <w:noProof/>
                <w:webHidden/>
              </w:rPr>
              <w:fldChar w:fldCharType="end"/>
            </w:r>
          </w:hyperlink>
        </w:p>
        <w:p w:rsidR="00DB0D21" w:rsidRDefault="00B061D7">
          <w:pPr>
            <w:pStyle w:val="20"/>
            <w:tabs>
              <w:tab w:val="right" w:leader="dot" w:pos="9350"/>
            </w:tabs>
            <w:rPr>
              <w:rFonts w:asciiTheme="minorHAnsi" w:eastAsiaTheme="minorEastAsia" w:hAnsiTheme="minorHAnsi"/>
              <w:noProof/>
              <w:color w:val="auto"/>
              <w:sz w:val="22"/>
              <w:lang w:val="en-US"/>
            </w:rPr>
          </w:pPr>
          <w:hyperlink w:anchor="_Toc64641757" w:history="1">
            <w:r w:rsidR="00DB0D21" w:rsidRPr="00BB02B6">
              <w:rPr>
                <w:rStyle w:val="-"/>
                <w:noProof/>
              </w:rPr>
              <w:t>2.2</w:t>
            </w:r>
            <w:r w:rsidR="00DB0D21" w:rsidRPr="00BB02B6">
              <w:rPr>
                <w:rStyle w:val="-"/>
                <w:noProof/>
                <w:lang w:bidi="hi-IN"/>
              </w:rPr>
              <w:t xml:space="preserve"> Ψυχολογικές παράμετροι που συμβάλλουν στην προσαρμογή στην υπέρταση</w:t>
            </w:r>
            <w:r w:rsidR="00DB0D21">
              <w:rPr>
                <w:noProof/>
                <w:webHidden/>
              </w:rPr>
              <w:tab/>
            </w:r>
            <w:r>
              <w:rPr>
                <w:noProof/>
                <w:webHidden/>
              </w:rPr>
              <w:fldChar w:fldCharType="begin"/>
            </w:r>
            <w:r w:rsidR="00DB0D21">
              <w:rPr>
                <w:noProof/>
                <w:webHidden/>
              </w:rPr>
              <w:instrText xml:space="preserve"> PAGEREF _Toc64641757 \h </w:instrText>
            </w:r>
            <w:r>
              <w:rPr>
                <w:noProof/>
                <w:webHidden/>
              </w:rPr>
            </w:r>
            <w:r>
              <w:rPr>
                <w:noProof/>
                <w:webHidden/>
              </w:rPr>
              <w:fldChar w:fldCharType="separate"/>
            </w:r>
            <w:r w:rsidR="000C5A2E">
              <w:rPr>
                <w:noProof/>
                <w:webHidden/>
              </w:rPr>
              <w:t>26</w:t>
            </w:r>
            <w:r>
              <w:rPr>
                <w:noProof/>
                <w:webHidden/>
              </w:rPr>
              <w:fldChar w:fldCharType="end"/>
            </w:r>
          </w:hyperlink>
        </w:p>
        <w:p w:rsidR="00DB0D21" w:rsidRDefault="00B061D7">
          <w:pPr>
            <w:pStyle w:val="20"/>
            <w:tabs>
              <w:tab w:val="right" w:leader="dot" w:pos="9350"/>
            </w:tabs>
            <w:rPr>
              <w:rFonts w:asciiTheme="minorHAnsi" w:eastAsiaTheme="minorEastAsia" w:hAnsiTheme="minorHAnsi"/>
              <w:noProof/>
              <w:color w:val="auto"/>
              <w:sz w:val="22"/>
              <w:lang w:val="en-US"/>
            </w:rPr>
          </w:pPr>
          <w:hyperlink w:anchor="_Toc64641758" w:history="1">
            <w:r w:rsidR="00DB0D21" w:rsidRPr="00BB02B6">
              <w:rPr>
                <w:rStyle w:val="-"/>
                <w:noProof/>
                <w:lang w:eastAsia="zh-CN" w:bidi="hi-IN"/>
              </w:rPr>
              <w:t>2.3 Θεωρία της κρίσης στη χρόνια υπέρταση</w:t>
            </w:r>
            <w:r w:rsidR="00DB0D21">
              <w:rPr>
                <w:noProof/>
                <w:webHidden/>
              </w:rPr>
              <w:tab/>
            </w:r>
            <w:r>
              <w:rPr>
                <w:noProof/>
                <w:webHidden/>
              </w:rPr>
              <w:fldChar w:fldCharType="begin"/>
            </w:r>
            <w:r w:rsidR="00DB0D21">
              <w:rPr>
                <w:noProof/>
                <w:webHidden/>
              </w:rPr>
              <w:instrText xml:space="preserve"> PAGEREF _Toc64641758 \h </w:instrText>
            </w:r>
            <w:r>
              <w:rPr>
                <w:noProof/>
                <w:webHidden/>
              </w:rPr>
            </w:r>
            <w:r>
              <w:rPr>
                <w:noProof/>
                <w:webHidden/>
              </w:rPr>
              <w:fldChar w:fldCharType="separate"/>
            </w:r>
            <w:r w:rsidR="000C5A2E">
              <w:rPr>
                <w:noProof/>
                <w:webHidden/>
              </w:rPr>
              <w:t>27</w:t>
            </w:r>
            <w:r>
              <w:rPr>
                <w:noProof/>
                <w:webHidden/>
              </w:rPr>
              <w:fldChar w:fldCharType="end"/>
            </w:r>
          </w:hyperlink>
        </w:p>
        <w:p w:rsidR="00DB0D21" w:rsidRDefault="00B061D7">
          <w:pPr>
            <w:pStyle w:val="20"/>
            <w:tabs>
              <w:tab w:val="right" w:leader="dot" w:pos="9350"/>
            </w:tabs>
            <w:rPr>
              <w:rFonts w:asciiTheme="minorHAnsi" w:eastAsiaTheme="minorEastAsia" w:hAnsiTheme="minorHAnsi"/>
              <w:noProof/>
              <w:color w:val="auto"/>
              <w:sz w:val="22"/>
              <w:lang w:val="en-US"/>
            </w:rPr>
          </w:pPr>
          <w:hyperlink w:anchor="_Toc64641759" w:history="1">
            <w:r w:rsidR="00DB0D21" w:rsidRPr="00BB02B6">
              <w:rPr>
                <w:rStyle w:val="-"/>
                <w:noProof/>
              </w:rPr>
              <w:t xml:space="preserve">2.4 </w:t>
            </w:r>
            <w:r w:rsidR="00DB0D21" w:rsidRPr="00BB02B6">
              <w:rPr>
                <w:rStyle w:val="-"/>
                <w:noProof/>
                <w:lang w:bidi="hi-IN"/>
              </w:rPr>
              <w:t>Προσωπικά χαρακτηριστικά ασθενούς</w:t>
            </w:r>
            <w:r w:rsidR="00DB0D21">
              <w:rPr>
                <w:noProof/>
                <w:webHidden/>
              </w:rPr>
              <w:tab/>
            </w:r>
            <w:r>
              <w:rPr>
                <w:noProof/>
                <w:webHidden/>
              </w:rPr>
              <w:fldChar w:fldCharType="begin"/>
            </w:r>
            <w:r w:rsidR="00DB0D21">
              <w:rPr>
                <w:noProof/>
                <w:webHidden/>
              </w:rPr>
              <w:instrText xml:space="preserve"> PAGEREF _Toc64641759 \h </w:instrText>
            </w:r>
            <w:r>
              <w:rPr>
                <w:noProof/>
                <w:webHidden/>
              </w:rPr>
            </w:r>
            <w:r>
              <w:rPr>
                <w:noProof/>
                <w:webHidden/>
              </w:rPr>
              <w:fldChar w:fldCharType="separate"/>
            </w:r>
            <w:r w:rsidR="000C5A2E">
              <w:rPr>
                <w:noProof/>
                <w:webHidden/>
              </w:rPr>
              <w:t>29</w:t>
            </w:r>
            <w:r>
              <w:rPr>
                <w:noProof/>
                <w:webHidden/>
              </w:rPr>
              <w:fldChar w:fldCharType="end"/>
            </w:r>
          </w:hyperlink>
        </w:p>
        <w:p w:rsidR="00DB0D21" w:rsidRDefault="00B061D7">
          <w:pPr>
            <w:pStyle w:val="30"/>
            <w:tabs>
              <w:tab w:val="right" w:leader="dot" w:pos="9350"/>
            </w:tabs>
            <w:rPr>
              <w:rFonts w:asciiTheme="minorHAnsi" w:eastAsiaTheme="minorEastAsia" w:hAnsiTheme="minorHAnsi"/>
              <w:noProof/>
              <w:color w:val="auto"/>
              <w:sz w:val="22"/>
              <w:lang w:val="en-US"/>
            </w:rPr>
          </w:pPr>
          <w:hyperlink w:anchor="_Toc64641760" w:history="1">
            <w:r w:rsidR="00DB0D21" w:rsidRPr="00BB02B6">
              <w:rPr>
                <w:rStyle w:val="-"/>
                <w:noProof/>
                <w:lang w:eastAsia="zh-CN" w:bidi="hi-IN"/>
              </w:rPr>
              <w:t>2.4.1 ΄Εκφραση Συναισθημάτων</w:t>
            </w:r>
            <w:r w:rsidR="00DB0D21">
              <w:rPr>
                <w:noProof/>
                <w:webHidden/>
              </w:rPr>
              <w:tab/>
            </w:r>
            <w:r>
              <w:rPr>
                <w:noProof/>
                <w:webHidden/>
              </w:rPr>
              <w:fldChar w:fldCharType="begin"/>
            </w:r>
            <w:r w:rsidR="00DB0D21">
              <w:rPr>
                <w:noProof/>
                <w:webHidden/>
              </w:rPr>
              <w:instrText xml:space="preserve"> PAGEREF _Toc64641760 \h </w:instrText>
            </w:r>
            <w:r>
              <w:rPr>
                <w:noProof/>
                <w:webHidden/>
              </w:rPr>
            </w:r>
            <w:r>
              <w:rPr>
                <w:noProof/>
                <w:webHidden/>
              </w:rPr>
              <w:fldChar w:fldCharType="separate"/>
            </w:r>
            <w:r w:rsidR="000C5A2E">
              <w:rPr>
                <w:noProof/>
                <w:webHidden/>
              </w:rPr>
              <w:t>31</w:t>
            </w:r>
            <w:r>
              <w:rPr>
                <w:noProof/>
                <w:webHidden/>
              </w:rPr>
              <w:fldChar w:fldCharType="end"/>
            </w:r>
          </w:hyperlink>
        </w:p>
        <w:p w:rsidR="00DB0D21" w:rsidRDefault="00B061D7">
          <w:pPr>
            <w:pStyle w:val="20"/>
            <w:tabs>
              <w:tab w:val="right" w:leader="dot" w:pos="9350"/>
            </w:tabs>
            <w:rPr>
              <w:rFonts w:asciiTheme="minorHAnsi" w:eastAsiaTheme="minorEastAsia" w:hAnsiTheme="minorHAnsi"/>
              <w:noProof/>
              <w:color w:val="auto"/>
              <w:sz w:val="22"/>
              <w:lang w:val="en-US"/>
            </w:rPr>
          </w:pPr>
          <w:hyperlink w:anchor="_Toc64641761" w:history="1">
            <w:r w:rsidR="00DB0D21" w:rsidRPr="00BB02B6">
              <w:rPr>
                <w:rStyle w:val="-"/>
                <w:noProof/>
              </w:rPr>
              <w:t>2.5</w:t>
            </w:r>
            <w:r w:rsidR="00DB0D21" w:rsidRPr="00BB02B6">
              <w:rPr>
                <w:rStyle w:val="-"/>
                <w:noProof/>
                <w:lang w:bidi="hi-IN"/>
              </w:rPr>
              <w:t xml:space="preserve"> Παράγοντες που επιδρούν στη θεραπεία</w:t>
            </w:r>
            <w:r w:rsidR="00DB0D21">
              <w:rPr>
                <w:noProof/>
                <w:webHidden/>
              </w:rPr>
              <w:tab/>
            </w:r>
            <w:r>
              <w:rPr>
                <w:noProof/>
                <w:webHidden/>
              </w:rPr>
              <w:fldChar w:fldCharType="begin"/>
            </w:r>
            <w:r w:rsidR="00DB0D21">
              <w:rPr>
                <w:noProof/>
                <w:webHidden/>
              </w:rPr>
              <w:instrText xml:space="preserve"> PAGEREF _Toc64641761 \h </w:instrText>
            </w:r>
            <w:r>
              <w:rPr>
                <w:noProof/>
                <w:webHidden/>
              </w:rPr>
            </w:r>
            <w:r>
              <w:rPr>
                <w:noProof/>
                <w:webHidden/>
              </w:rPr>
              <w:fldChar w:fldCharType="separate"/>
            </w:r>
            <w:r w:rsidR="000C5A2E">
              <w:rPr>
                <w:noProof/>
                <w:webHidden/>
              </w:rPr>
              <w:t>31</w:t>
            </w:r>
            <w:r>
              <w:rPr>
                <w:noProof/>
                <w:webHidden/>
              </w:rPr>
              <w:fldChar w:fldCharType="end"/>
            </w:r>
          </w:hyperlink>
        </w:p>
        <w:p w:rsidR="00DB0D21" w:rsidRDefault="00B061D7">
          <w:pPr>
            <w:pStyle w:val="10"/>
            <w:rPr>
              <w:rFonts w:asciiTheme="minorHAnsi" w:eastAsiaTheme="minorEastAsia" w:hAnsiTheme="minorHAnsi"/>
              <w:noProof/>
              <w:color w:val="auto"/>
              <w:sz w:val="22"/>
              <w:lang w:val="en-US"/>
            </w:rPr>
          </w:pPr>
          <w:hyperlink w:anchor="_Toc64641762" w:history="1">
            <w:r w:rsidR="00DB0D21" w:rsidRPr="00BB02B6">
              <w:rPr>
                <w:rStyle w:val="-"/>
                <w:noProof/>
                <w:lang w:eastAsia="zh-CN" w:bidi="hi-IN"/>
              </w:rPr>
              <w:t>3. Παράγοντες που επιδρούν στη θεραπεία και συμμόρφωση του υπερτασικού ασθενούς</w:t>
            </w:r>
            <w:r w:rsidR="00DB0D21">
              <w:rPr>
                <w:noProof/>
                <w:webHidden/>
              </w:rPr>
              <w:tab/>
            </w:r>
            <w:r>
              <w:rPr>
                <w:noProof/>
                <w:webHidden/>
              </w:rPr>
              <w:fldChar w:fldCharType="begin"/>
            </w:r>
            <w:r w:rsidR="00DB0D21">
              <w:rPr>
                <w:noProof/>
                <w:webHidden/>
              </w:rPr>
              <w:instrText xml:space="preserve"> PAGEREF _Toc64641762 \h </w:instrText>
            </w:r>
            <w:r>
              <w:rPr>
                <w:noProof/>
                <w:webHidden/>
              </w:rPr>
            </w:r>
            <w:r>
              <w:rPr>
                <w:noProof/>
                <w:webHidden/>
              </w:rPr>
              <w:fldChar w:fldCharType="separate"/>
            </w:r>
            <w:r w:rsidR="000C5A2E">
              <w:rPr>
                <w:noProof/>
                <w:webHidden/>
              </w:rPr>
              <w:t>33</w:t>
            </w:r>
            <w:r>
              <w:rPr>
                <w:noProof/>
                <w:webHidden/>
              </w:rPr>
              <w:fldChar w:fldCharType="end"/>
            </w:r>
          </w:hyperlink>
        </w:p>
        <w:p w:rsidR="00DB0D21" w:rsidRDefault="00B061D7">
          <w:pPr>
            <w:pStyle w:val="20"/>
            <w:tabs>
              <w:tab w:val="right" w:leader="dot" w:pos="9350"/>
            </w:tabs>
            <w:rPr>
              <w:rFonts w:asciiTheme="minorHAnsi" w:eastAsiaTheme="minorEastAsia" w:hAnsiTheme="minorHAnsi"/>
              <w:noProof/>
              <w:color w:val="auto"/>
              <w:sz w:val="22"/>
              <w:lang w:val="en-US"/>
            </w:rPr>
          </w:pPr>
          <w:hyperlink w:anchor="_Toc64641763" w:history="1">
            <w:r w:rsidR="00DB0D21" w:rsidRPr="00BB02B6">
              <w:rPr>
                <w:rStyle w:val="-"/>
                <w:noProof/>
              </w:rPr>
              <w:t>3.1</w:t>
            </w:r>
            <w:r w:rsidR="00DB0D21" w:rsidRPr="00BB02B6">
              <w:rPr>
                <w:rStyle w:val="-"/>
                <w:noProof/>
                <w:lang w:bidi="hi-IN"/>
              </w:rPr>
              <w:t xml:space="preserve"> Γενικές αρχές</w:t>
            </w:r>
            <w:r w:rsidR="00DB0D21">
              <w:rPr>
                <w:noProof/>
                <w:webHidden/>
              </w:rPr>
              <w:tab/>
            </w:r>
            <w:r>
              <w:rPr>
                <w:noProof/>
                <w:webHidden/>
              </w:rPr>
              <w:fldChar w:fldCharType="begin"/>
            </w:r>
            <w:r w:rsidR="00DB0D21">
              <w:rPr>
                <w:noProof/>
                <w:webHidden/>
              </w:rPr>
              <w:instrText xml:space="preserve"> PAGEREF _Toc64641763 \h </w:instrText>
            </w:r>
            <w:r>
              <w:rPr>
                <w:noProof/>
                <w:webHidden/>
              </w:rPr>
            </w:r>
            <w:r>
              <w:rPr>
                <w:noProof/>
                <w:webHidden/>
              </w:rPr>
              <w:fldChar w:fldCharType="separate"/>
            </w:r>
            <w:r w:rsidR="000C5A2E">
              <w:rPr>
                <w:noProof/>
                <w:webHidden/>
              </w:rPr>
              <w:t>33</w:t>
            </w:r>
            <w:r>
              <w:rPr>
                <w:noProof/>
                <w:webHidden/>
              </w:rPr>
              <w:fldChar w:fldCharType="end"/>
            </w:r>
          </w:hyperlink>
        </w:p>
        <w:p w:rsidR="00DB0D21" w:rsidRDefault="00B061D7">
          <w:pPr>
            <w:pStyle w:val="20"/>
            <w:tabs>
              <w:tab w:val="right" w:leader="dot" w:pos="9350"/>
            </w:tabs>
            <w:rPr>
              <w:rFonts w:asciiTheme="minorHAnsi" w:eastAsiaTheme="minorEastAsia" w:hAnsiTheme="minorHAnsi"/>
              <w:noProof/>
              <w:color w:val="auto"/>
              <w:sz w:val="22"/>
              <w:lang w:val="en-US"/>
            </w:rPr>
          </w:pPr>
          <w:hyperlink w:anchor="_Toc64641764" w:history="1">
            <w:r w:rsidR="00DB0D21" w:rsidRPr="00BB02B6">
              <w:rPr>
                <w:rStyle w:val="-"/>
                <w:noProof/>
              </w:rPr>
              <w:t xml:space="preserve">3.2 </w:t>
            </w:r>
            <w:r w:rsidR="00DB0D21" w:rsidRPr="00BB02B6">
              <w:rPr>
                <w:rStyle w:val="-"/>
                <w:noProof/>
                <w:lang w:bidi="hi-IN"/>
              </w:rPr>
              <w:t>Ιστορική αναδρομή</w:t>
            </w:r>
            <w:r w:rsidR="00DB0D21">
              <w:rPr>
                <w:noProof/>
                <w:webHidden/>
              </w:rPr>
              <w:tab/>
            </w:r>
            <w:r>
              <w:rPr>
                <w:noProof/>
                <w:webHidden/>
              </w:rPr>
              <w:fldChar w:fldCharType="begin"/>
            </w:r>
            <w:r w:rsidR="00DB0D21">
              <w:rPr>
                <w:noProof/>
                <w:webHidden/>
              </w:rPr>
              <w:instrText xml:space="preserve"> PAGEREF _Toc64641764 \h </w:instrText>
            </w:r>
            <w:r>
              <w:rPr>
                <w:noProof/>
                <w:webHidden/>
              </w:rPr>
            </w:r>
            <w:r>
              <w:rPr>
                <w:noProof/>
                <w:webHidden/>
              </w:rPr>
              <w:fldChar w:fldCharType="separate"/>
            </w:r>
            <w:r w:rsidR="000C5A2E">
              <w:rPr>
                <w:noProof/>
                <w:webHidden/>
              </w:rPr>
              <w:t>34</w:t>
            </w:r>
            <w:r>
              <w:rPr>
                <w:noProof/>
                <w:webHidden/>
              </w:rPr>
              <w:fldChar w:fldCharType="end"/>
            </w:r>
          </w:hyperlink>
        </w:p>
        <w:p w:rsidR="00DB0D21" w:rsidRDefault="00B061D7">
          <w:pPr>
            <w:pStyle w:val="20"/>
            <w:tabs>
              <w:tab w:val="right" w:leader="dot" w:pos="9350"/>
            </w:tabs>
            <w:rPr>
              <w:rFonts w:asciiTheme="minorHAnsi" w:eastAsiaTheme="minorEastAsia" w:hAnsiTheme="minorHAnsi"/>
              <w:noProof/>
              <w:color w:val="auto"/>
              <w:sz w:val="22"/>
              <w:lang w:val="en-US"/>
            </w:rPr>
          </w:pPr>
          <w:hyperlink w:anchor="_Toc64641765" w:history="1">
            <w:r w:rsidR="00DB0D21" w:rsidRPr="00BB02B6">
              <w:rPr>
                <w:rStyle w:val="-"/>
                <w:noProof/>
              </w:rPr>
              <w:t xml:space="preserve">3.3 </w:t>
            </w:r>
            <w:r w:rsidR="00DB0D21" w:rsidRPr="00BB02B6">
              <w:rPr>
                <w:rStyle w:val="-"/>
                <w:noProof/>
                <w:lang w:bidi="hi-IN"/>
              </w:rPr>
              <w:t>Στοιχεία από τον ελλαδικό χώρο</w:t>
            </w:r>
            <w:r w:rsidR="00DB0D21">
              <w:rPr>
                <w:noProof/>
                <w:webHidden/>
              </w:rPr>
              <w:tab/>
            </w:r>
            <w:r>
              <w:rPr>
                <w:noProof/>
                <w:webHidden/>
              </w:rPr>
              <w:fldChar w:fldCharType="begin"/>
            </w:r>
            <w:r w:rsidR="00DB0D21">
              <w:rPr>
                <w:noProof/>
                <w:webHidden/>
              </w:rPr>
              <w:instrText xml:space="preserve"> PAGEREF _Toc64641765 \h </w:instrText>
            </w:r>
            <w:r>
              <w:rPr>
                <w:noProof/>
                <w:webHidden/>
              </w:rPr>
            </w:r>
            <w:r>
              <w:rPr>
                <w:noProof/>
                <w:webHidden/>
              </w:rPr>
              <w:fldChar w:fldCharType="separate"/>
            </w:r>
            <w:r w:rsidR="000C5A2E">
              <w:rPr>
                <w:noProof/>
                <w:webHidden/>
              </w:rPr>
              <w:t>35</w:t>
            </w:r>
            <w:r>
              <w:rPr>
                <w:noProof/>
                <w:webHidden/>
              </w:rPr>
              <w:fldChar w:fldCharType="end"/>
            </w:r>
          </w:hyperlink>
        </w:p>
        <w:p w:rsidR="00DB0D21" w:rsidRDefault="00B061D7">
          <w:pPr>
            <w:pStyle w:val="20"/>
            <w:tabs>
              <w:tab w:val="right" w:leader="dot" w:pos="9350"/>
            </w:tabs>
            <w:rPr>
              <w:rFonts w:asciiTheme="minorHAnsi" w:eastAsiaTheme="minorEastAsia" w:hAnsiTheme="minorHAnsi"/>
              <w:noProof/>
              <w:color w:val="auto"/>
              <w:sz w:val="22"/>
              <w:lang w:val="en-US"/>
            </w:rPr>
          </w:pPr>
          <w:hyperlink w:anchor="_Toc64641766" w:history="1">
            <w:r w:rsidR="00DB0D21" w:rsidRPr="00BB02B6">
              <w:rPr>
                <w:rStyle w:val="-"/>
                <w:noProof/>
              </w:rPr>
              <w:t xml:space="preserve">3.4 </w:t>
            </w:r>
            <w:r w:rsidR="00DB0D21" w:rsidRPr="00BB02B6">
              <w:rPr>
                <w:rStyle w:val="-"/>
                <w:noProof/>
                <w:lang w:bidi="hi-IN"/>
              </w:rPr>
              <w:t>Αίτια</w:t>
            </w:r>
            <w:r w:rsidR="00DB0D21">
              <w:rPr>
                <w:noProof/>
                <w:webHidden/>
              </w:rPr>
              <w:tab/>
            </w:r>
            <w:r>
              <w:rPr>
                <w:noProof/>
                <w:webHidden/>
              </w:rPr>
              <w:fldChar w:fldCharType="begin"/>
            </w:r>
            <w:r w:rsidR="00DB0D21">
              <w:rPr>
                <w:noProof/>
                <w:webHidden/>
              </w:rPr>
              <w:instrText xml:space="preserve"> PAGEREF _Toc64641766 \h </w:instrText>
            </w:r>
            <w:r>
              <w:rPr>
                <w:noProof/>
                <w:webHidden/>
              </w:rPr>
            </w:r>
            <w:r>
              <w:rPr>
                <w:noProof/>
                <w:webHidden/>
              </w:rPr>
              <w:fldChar w:fldCharType="separate"/>
            </w:r>
            <w:r w:rsidR="000C5A2E">
              <w:rPr>
                <w:noProof/>
                <w:webHidden/>
              </w:rPr>
              <w:t>35</w:t>
            </w:r>
            <w:r>
              <w:rPr>
                <w:noProof/>
                <w:webHidden/>
              </w:rPr>
              <w:fldChar w:fldCharType="end"/>
            </w:r>
          </w:hyperlink>
        </w:p>
        <w:p w:rsidR="00DB0D21" w:rsidRDefault="00B061D7">
          <w:pPr>
            <w:pStyle w:val="10"/>
            <w:rPr>
              <w:rFonts w:asciiTheme="minorHAnsi" w:eastAsiaTheme="minorEastAsia" w:hAnsiTheme="minorHAnsi"/>
              <w:noProof/>
              <w:color w:val="auto"/>
              <w:sz w:val="22"/>
              <w:lang w:val="en-US"/>
            </w:rPr>
          </w:pPr>
          <w:hyperlink w:anchor="_Toc64641767" w:history="1">
            <w:r w:rsidR="00DB0D21" w:rsidRPr="00BB02B6">
              <w:rPr>
                <w:rStyle w:val="-"/>
                <w:noProof/>
                <w:lang w:eastAsia="zh-CN" w:bidi="hi-IN"/>
              </w:rPr>
              <w:t>4. Η επικοινωνία ως μέσω ικανοποίησης των ασθενών και η συμβολή της στη συμμόρφωση στην θεραπεία</w:t>
            </w:r>
            <w:r w:rsidR="00DB0D21">
              <w:rPr>
                <w:noProof/>
                <w:webHidden/>
              </w:rPr>
              <w:tab/>
            </w:r>
            <w:r>
              <w:rPr>
                <w:noProof/>
                <w:webHidden/>
              </w:rPr>
              <w:fldChar w:fldCharType="begin"/>
            </w:r>
            <w:r w:rsidR="00DB0D21">
              <w:rPr>
                <w:noProof/>
                <w:webHidden/>
              </w:rPr>
              <w:instrText xml:space="preserve"> PAGEREF _Toc64641767 \h </w:instrText>
            </w:r>
            <w:r>
              <w:rPr>
                <w:noProof/>
                <w:webHidden/>
              </w:rPr>
            </w:r>
            <w:r>
              <w:rPr>
                <w:noProof/>
                <w:webHidden/>
              </w:rPr>
              <w:fldChar w:fldCharType="separate"/>
            </w:r>
            <w:r w:rsidR="000C5A2E">
              <w:rPr>
                <w:noProof/>
                <w:webHidden/>
              </w:rPr>
              <w:t>38</w:t>
            </w:r>
            <w:r>
              <w:rPr>
                <w:noProof/>
                <w:webHidden/>
              </w:rPr>
              <w:fldChar w:fldCharType="end"/>
            </w:r>
          </w:hyperlink>
        </w:p>
        <w:p w:rsidR="00DB0D21" w:rsidRDefault="00B061D7">
          <w:pPr>
            <w:pStyle w:val="10"/>
            <w:rPr>
              <w:rFonts w:asciiTheme="minorHAnsi" w:eastAsiaTheme="minorEastAsia" w:hAnsiTheme="minorHAnsi"/>
              <w:noProof/>
              <w:color w:val="auto"/>
              <w:sz w:val="22"/>
              <w:lang w:val="en-US"/>
            </w:rPr>
          </w:pPr>
          <w:hyperlink w:anchor="_Toc64641768" w:history="1">
            <w:r w:rsidR="00DB0D21" w:rsidRPr="00BB02B6">
              <w:rPr>
                <w:rStyle w:val="-"/>
                <w:noProof/>
                <w:lang w:eastAsia="zh-CN" w:bidi="hi-IN"/>
              </w:rPr>
              <w:t>5. Μεθοδολογία</w:t>
            </w:r>
            <w:r w:rsidR="00DB0D21">
              <w:rPr>
                <w:noProof/>
                <w:webHidden/>
              </w:rPr>
              <w:tab/>
            </w:r>
            <w:r>
              <w:rPr>
                <w:noProof/>
                <w:webHidden/>
              </w:rPr>
              <w:fldChar w:fldCharType="begin"/>
            </w:r>
            <w:r w:rsidR="00DB0D21">
              <w:rPr>
                <w:noProof/>
                <w:webHidden/>
              </w:rPr>
              <w:instrText xml:space="preserve"> PAGEREF _Toc64641768 \h </w:instrText>
            </w:r>
            <w:r>
              <w:rPr>
                <w:noProof/>
                <w:webHidden/>
              </w:rPr>
            </w:r>
            <w:r>
              <w:rPr>
                <w:noProof/>
                <w:webHidden/>
              </w:rPr>
              <w:fldChar w:fldCharType="separate"/>
            </w:r>
            <w:r w:rsidR="000C5A2E">
              <w:rPr>
                <w:noProof/>
                <w:webHidden/>
              </w:rPr>
              <w:t>40</w:t>
            </w:r>
            <w:r>
              <w:rPr>
                <w:noProof/>
                <w:webHidden/>
              </w:rPr>
              <w:fldChar w:fldCharType="end"/>
            </w:r>
          </w:hyperlink>
        </w:p>
        <w:p w:rsidR="00DB0D21" w:rsidRDefault="00B061D7">
          <w:pPr>
            <w:pStyle w:val="20"/>
            <w:tabs>
              <w:tab w:val="right" w:leader="dot" w:pos="9350"/>
            </w:tabs>
            <w:rPr>
              <w:rFonts w:asciiTheme="minorHAnsi" w:eastAsiaTheme="minorEastAsia" w:hAnsiTheme="minorHAnsi"/>
              <w:noProof/>
              <w:color w:val="auto"/>
              <w:sz w:val="22"/>
              <w:lang w:val="en-US"/>
            </w:rPr>
          </w:pPr>
          <w:hyperlink w:anchor="_Toc64641769" w:history="1">
            <w:r w:rsidR="00DB0D21" w:rsidRPr="00BB02B6">
              <w:rPr>
                <w:rStyle w:val="-"/>
                <w:noProof/>
                <w:lang w:eastAsia="zh-CN" w:bidi="hi-IN"/>
              </w:rPr>
              <w:t>5.1 Σκοπός και ερευνητικά ερωτήματα</w:t>
            </w:r>
            <w:r w:rsidR="00DB0D21">
              <w:rPr>
                <w:noProof/>
                <w:webHidden/>
              </w:rPr>
              <w:tab/>
            </w:r>
            <w:r>
              <w:rPr>
                <w:noProof/>
                <w:webHidden/>
              </w:rPr>
              <w:fldChar w:fldCharType="begin"/>
            </w:r>
            <w:r w:rsidR="00DB0D21">
              <w:rPr>
                <w:noProof/>
                <w:webHidden/>
              </w:rPr>
              <w:instrText xml:space="preserve"> PAGEREF _Toc64641769 \h </w:instrText>
            </w:r>
            <w:r>
              <w:rPr>
                <w:noProof/>
                <w:webHidden/>
              </w:rPr>
            </w:r>
            <w:r>
              <w:rPr>
                <w:noProof/>
                <w:webHidden/>
              </w:rPr>
              <w:fldChar w:fldCharType="separate"/>
            </w:r>
            <w:r w:rsidR="000C5A2E">
              <w:rPr>
                <w:noProof/>
                <w:webHidden/>
              </w:rPr>
              <w:t>40</w:t>
            </w:r>
            <w:r>
              <w:rPr>
                <w:noProof/>
                <w:webHidden/>
              </w:rPr>
              <w:fldChar w:fldCharType="end"/>
            </w:r>
          </w:hyperlink>
        </w:p>
        <w:p w:rsidR="00DB0D21" w:rsidRDefault="00B061D7">
          <w:pPr>
            <w:pStyle w:val="20"/>
            <w:tabs>
              <w:tab w:val="right" w:leader="dot" w:pos="9350"/>
            </w:tabs>
            <w:rPr>
              <w:rFonts w:asciiTheme="minorHAnsi" w:eastAsiaTheme="minorEastAsia" w:hAnsiTheme="minorHAnsi"/>
              <w:noProof/>
              <w:color w:val="auto"/>
              <w:sz w:val="22"/>
              <w:lang w:val="en-US"/>
            </w:rPr>
          </w:pPr>
          <w:hyperlink w:anchor="_Toc64641770" w:history="1">
            <w:r w:rsidR="00DB0D21" w:rsidRPr="00BB02B6">
              <w:rPr>
                <w:rStyle w:val="-"/>
                <w:noProof/>
                <w:lang w:eastAsia="zh-CN" w:bidi="hi-IN"/>
              </w:rPr>
              <w:t>5.2 Διαδικασία έρευνας και Δείγμα</w:t>
            </w:r>
            <w:r w:rsidR="00DB0D21">
              <w:rPr>
                <w:noProof/>
                <w:webHidden/>
              </w:rPr>
              <w:tab/>
            </w:r>
            <w:r>
              <w:rPr>
                <w:noProof/>
                <w:webHidden/>
              </w:rPr>
              <w:fldChar w:fldCharType="begin"/>
            </w:r>
            <w:r w:rsidR="00DB0D21">
              <w:rPr>
                <w:noProof/>
                <w:webHidden/>
              </w:rPr>
              <w:instrText xml:space="preserve"> PAGEREF _Toc64641770 \h </w:instrText>
            </w:r>
            <w:r>
              <w:rPr>
                <w:noProof/>
                <w:webHidden/>
              </w:rPr>
            </w:r>
            <w:r>
              <w:rPr>
                <w:noProof/>
                <w:webHidden/>
              </w:rPr>
              <w:fldChar w:fldCharType="separate"/>
            </w:r>
            <w:r w:rsidR="000C5A2E">
              <w:rPr>
                <w:noProof/>
                <w:webHidden/>
              </w:rPr>
              <w:t>40</w:t>
            </w:r>
            <w:r>
              <w:rPr>
                <w:noProof/>
                <w:webHidden/>
              </w:rPr>
              <w:fldChar w:fldCharType="end"/>
            </w:r>
          </w:hyperlink>
        </w:p>
        <w:p w:rsidR="00DB0D21" w:rsidRDefault="00B061D7">
          <w:pPr>
            <w:pStyle w:val="20"/>
            <w:tabs>
              <w:tab w:val="right" w:leader="dot" w:pos="9350"/>
            </w:tabs>
            <w:rPr>
              <w:rFonts w:asciiTheme="minorHAnsi" w:eastAsiaTheme="minorEastAsia" w:hAnsiTheme="minorHAnsi"/>
              <w:noProof/>
              <w:color w:val="auto"/>
              <w:sz w:val="22"/>
              <w:lang w:val="en-US"/>
            </w:rPr>
          </w:pPr>
          <w:hyperlink w:anchor="_Toc64641771" w:history="1">
            <w:r w:rsidR="00DB0D21" w:rsidRPr="00BB02B6">
              <w:rPr>
                <w:rStyle w:val="-"/>
                <w:noProof/>
                <w:lang w:eastAsia="zh-CN" w:bidi="hi-IN"/>
              </w:rPr>
              <w:t>5.3 Ερευνητικό εργαλείο</w:t>
            </w:r>
            <w:r w:rsidR="00DB0D21">
              <w:rPr>
                <w:noProof/>
                <w:webHidden/>
              </w:rPr>
              <w:tab/>
            </w:r>
            <w:r>
              <w:rPr>
                <w:noProof/>
                <w:webHidden/>
              </w:rPr>
              <w:fldChar w:fldCharType="begin"/>
            </w:r>
            <w:r w:rsidR="00DB0D21">
              <w:rPr>
                <w:noProof/>
                <w:webHidden/>
              </w:rPr>
              <w:instrText xml:space="preserve"> PAGEREF _Toc64641771 \h </w:instrText>
            </w:r>
            <w:r>
              <w:rPr>
                <w:noProof/>
                <w:webHidden/>
              </w:rPr>
            </w:r>
            <w:r>
              <w:rPr>
                <w:noProof/>
                <w:webHidden/>
              </w:rPr>
              <w:fldChar w:fldCharType="separate"/>
            </w:r>
            <w:r w:rsidR="000C5A2E">
              <w:rPr>
                <w:noProof/>
                <w:webHidden/>
              </w:rPr>
              <w:t>41</w:t>
            </w:r>
            <w:r>
              <w:rPr>
                <w:noProof/>
                <w:webHidden/>
              </w:rPr>
              <w:fldChar w:fldCharType="end"/>
            </w:r>
          </w:hyperlink>
        </w:p>
        <w:p w:rsidR="00DB0D21" w:rsidRDefault="00B061D7">
          <w:pPr>
            <w:pStyle w:val="20"/>
            <w:tabs>
              <w:tab w:val="right" w:leader="dot" w:pos="9350"/>
            </w:tabs>
            <w:rPr>
              <w:rFonts w:asciiTheme="minorHAnsi" w:eastAsiaTheme="minorEastAsia" w:hAnsiTheme="minorHAnsi"/>
              <w:noProof/>
              <w:color w:val="auto"/>
              <w:sz w:val="22"/>
              <w:lang w:val="en-US"/>
            </w:rPr>
          </w:pPr>
          <w:hyperlink w:anchor="_Toc64641772" w:history="1">
            <w:r w:rsidR="00DB0D21" w:rsidRPr="00BB02B6">
              <w:rPr>
                <w:rStyle w:val="-"/>
                <w:noProof/>
                <w:lang w:eastAsia="zh-CN" w:bidi="hi-IN"/>
              </w:rPr>
              <w:t>5.4 Στατιστική ανάλυση</w:t>
            </w:r>
            <w:r w:rsidR="00DB0D21">
              <w:rPr>
                <w:noProof/>
                <w:webHidden/>
              </w:rPr>
              <w:tab/>
            </w:r>
            <w:r>
              <w:rPr>
                <w:noProof/>
                <w:webHidden/>
              </w:rPr>
              <w:fldChar w:fldCharType="begin"/>
            </w:r>
            <w:r w:rsidR="00DB0D21">
              <w:rPr>
                <w:noProof/>
                <w:webHidden/>
              </w:rPr>
              <w:instrText xml:space="preserve"> PAGEREF _Toc64641772 \h </w:instrText>
            </w:r>
            <w:r>
              <w:rPr>
                <w:noProof/>
                <w:webHidden/>
              </w:rPr>
            </w:r>
            <w:r>
              <w:rPr>
                <w:noProof/>
                <w:webHidden/>
              </w:rPr>
              <w:fldChar w:fldCharType="separate"/>
            </w:r>
            <w:r w:rsidR="000C5A2E">
              <w:rPr>
                <w:noProof/>
                <w:webHidden/>
              </w:rPr>
              <w:t>43</w:t>
            </w:r>
            <w:r>
              <w:rPr>
                <w:noProof/>
                <w:webHidden/>
              </w:rPr>
              <w:fldChar w:fldCharType="end"/>
            </w:r>
          </w:hyperlink>
        </w:p>
        <w:p w:rsidR="00DB0D21" w:rsidRDefault="00B061D7">
          <w:pPr>
            <w:pStyle w:val="10"/>
            <w:rPr>
              <w:rFonts w:asciiTheme="minorHAnsi" w:eastAsiaTheme="minorEastAsia" w:hAnsiTheme="minorHAnsi"/>
              <w:noProof/>
              <w:color w:val="auto"/>
              <w:sz w:val="22"/>
              <w:lang w:val="en-US"/>
            </w:rPr>
          </w:pPr>
          <w:hyperlink w:anchor="_Toc64641773" w:history="1">
            <w:r w:rsidR="00DB0D21" w:rsidRPr="00BB02B6">
              <w:rPr>
                <w:rStyle w:val="-"/>
                <w:noProof/>
                <w:lang w:eastAsia="zh-CN" w:bidi="hi-IN"/>
              </w:rPr>
              <w:t>6. Αποτελέσματα</w:t>
            </w:r>
            <w:r w:rsidR="00DB0D21">
              <w:rPr>
                <w:noProof/>
                <w:webHidden/>
              </w:rPr>
              <w:tab/>
            </w:r>
            <w:r>
              <w:rPr>
                <w:noProof/>
                <w:webHidden/>
              </w:rPr>
              <w:fldChar w:fldCharType="begin"/>
            </w:r>
            <w:r w:rsidR="00DB0D21">
              <w:rPr>
                <w:noProof/>
                <w:webHidden/>
              </w:rPr>
              <w:instrText xml:space="preserve"> PAGEREF _Toc64641773 \h </w:instrText>
            </w:r>
            <w:r>
              <w:rPr>
                <w:noProof/>
                <w:webHidden/>
              </w:rPr>
            </w:r>
            <w:r>
              <w:rPr>
                <w:noProof/>
                <w:webHidden/>
              </w:rPr>
              <w:fldChar w:fldCharType="separate"/>
            </w:r>
            <w:r w:rsidR="000C5A2E">
              <w:rPr>
                <w:noProof/>
                <w:webHidden/>
              </w:rPr>
              <w:t>44</w:t>
            </w:r>
            <w:r>
              <w:rPr>
                <w:noProof/>
                <w:webHidden/>
              </w:rPr>
              <w:fldChar w:fldCharType="end"/>
            </w:r>
          </w:hyperlink>
        </w:p>
        <w:p w:rsidR="00DB0D21" w:rsidRDefault="00B061D7">
          <w:pPr>
            <w:pStyle w:val="20"/>
            <w:tabs>
              <w:tab w:val="right" w:leader="dot" w:pos="9350"/>
            </w:tabs>
            <w:rPr>
              <w:rFonts w:asciiTheme="minorHAnsi" w:eastAsiaTheme="minorEastAsia" w:hAnsiTheme="minorHAnsi"/>
              <w:noProof/>
              <w:color w:val="auto"/>
              <w:sz w:val="22"/>
              <w:lang w:val="en-US"/>
            </w:rPr>
          </w:pPr>
          <w:hyperlink w:anchor="_Toc64641774" w:history="1">
            <w:r w:rsidR="00DB0D21" w:rsidRPr="00BB02B6">
              <w:rPr>
                <w:rStyle w:val="-"/>
                <w:noProof/>
                <w:lang w:eastAsia="zh-CN" w:bidi="hi-IN"/>
              </w:rPr>
              <w:t>6.1 Περιγραφική ανάλυση</w:t>
            </w:r>
            <w:r w:rsidR="00DB0D21">
              <w:rPr>
                <w:noProof/>
                <w:webHidden/>
              </w:rPr>
              <w:tab/>
            </w:r>
            <w:r>
              <w:rPr>
                <w:noProof/>
                <w:webHidden/>
              </w:rPr>
              <w:fldChar w:fldCharType="begin"/>
            </w:r>
            <w:r w:rsidR="00DB0D21">
              <w:rPr>
                <w:noProof/>
                <w:webHidden/>
              </w:rPr>
              <w:instrText xml:space="preserve"> PAGEREF _Toc64641774 \h </w:instrText>
            </w:r>
            <w:r>
              <w:rPr>
                <w:noProof/>
                <w:webHidden/>
              </w:rPr>
            </w:r>
            <w:r>
              <w:rPr>
                <w:noProof/>
                <w:webHidden/>
              </w:rPr>
              <w:fldChar w:fldCharType="separate"/>
            </w:r>
            <w:r w:rsidR="000C5A2E">
              <w:rPr>
                <w:noProof/>
                <w:webHidden/>
              </w:rPr>
              <w:t>44</w:t>
            </w:r>
            <w:r>
              <w:rPr>
                <w:noProof/>
                <w:webHidden/>
              </w:rPr>
              <w:fldChar w:fldCharType="end"/>
            </w:r>
          </w:hyperlink>
        </w:p>
        <w:p w:rsidR="00DB0D21" w:rsidRDefault="00B061D7">
          <w:pPr>
            <w:pStyle w:val="20"/>
            <w:tabs>
              <w:tab w:val="right" w:leader="dot" w:pos="9350"/>
            </w:tabs>
            <w:rPr>
              <w:rFonts w:asciiTheme="minorHAnsi" w:eastAsiaTheme="minorEastAsia" w:hAnsiTheme="minorHAnsi"/>
              <w:noProof/>
              <w:color w:val="auto"/>
              <w:sz w:val="22"/>
              <w:lang w:val="en-US"/>
            </w:rPr>
          </w:pPr>
          <w:hyperlink w:anchor="_Toc64641775" w:history="1">
            <w:r w:rsidR="00DB0D21" w:rsidRPr="00BB02B6">
              <w:rPr>
                <w:rStyle w:val="-"/>
                <w:noProof/>
                <w:lang w:eastAsia="zh-CN" w:bidi="hi-IN"/>
              </w:rPr>
              <w:t>6.2 Επαγωγική ανάλυση</w:t>
            </w:r>
            <w:r w:rsidR="00DB0D21">
              <w:rPr>
                <w:noProof/>
                <w:webHidden/>
              </w:rPr>
              <w:tab/>
            </w:r>
            <w:r>
              <w:rPr>
                <w:noProof/>
                <w:webHidden/>
              </w:rPr>
              <w:fldChar w:fldCharType="begin"/>
            </w:r>
            <w:r w:rsidR="00DB0D21">
              <w:rPr>
                <w:noProof/>
                <w:webHidden/>
              </w:rPr>
              <w:instrText xml:space="preserve"> PAGEREF _Toc64641775 \h </w:instrText>
            </w:r>
            <w:r>
              <w:rPr>
                <w:noProof/>
                <w:webHidden/>
              </w:rPr>
            </w:r>
            <w:r>
              <w:rPr>
                <w:noProof/>
                <w:webHidden/>
              </w:rPr>
              <w:fldChar w:fldCharType="separate"/>
            </w:r>
            <w:r w:rsidR="000C5A2E">
              <w:rPr>
                <w:noProof/>
                <w:webHidden/>
              </w:rPr>
              <w:t>54</w:t>
            </w:r>
            <w:r>
              <w:rPr>
                <w:noProof/>
                <w:webHidden/>
              </w:rPr>
              <w:fldChar w:fldCharType="end"/>
            </w:r>
          </w:hyperlink>
        </w:p>
        <w:p w:rsidR="00DB0D21" w:rsidRDefault="00B061D7">
          <w:pPr>
            <w:pStyle w:val="10"/>
            <w:rPr>
              <w:rFonts w:asciiTheme="minorHAnsi" w:eastAsiaTheme="minorEastAsia" w:hAnsiTheme="minorHAnsi"/>
              <w:noProof/>
              <w:color w:val="auto"/>
              <w:sz w:val="22"/>
              <w:lang w:val="en-US"/>
            </w:rPr>
          </w:pPr>
          <w:hyperlink w:anchor="_Toc64641776" w:history="1">
            <w:r w:rsidR="00DB0D21" w:rsidRPr="00BB02B6">
              <w:rPr>
                <w:rStyle w:val="-"/>
                <w:noProof/>
              </w:rPr>
              <w:t xml:space="preserve">7. </w:t>
            </w:r>
            <w:r w:rsidR="00DB0D21" w:rsidRPr="00BB02B6">
              <w:rPr>
                <w:rStyle w:val="-"/>
                <w:noProof/>
                <w:lang w:bidi="hi-IN"/>
              </w:rPr>
              <w:t>Συζήτηση- συμπεράσματα</w:t>
            </w:r>
            <w:r w:rsidR="00DB0D21">
              <w:rPr>
                <w:noProof/>
                <w:webHidden/>
              </w:rPr>
              <w:tab/>
            </w:r>
            <w:r>
              <w:rPr>
                <w:noProof/>
                <w:webHidden/>
              </w:rPr>
              <w:fldChar w:fldCharType="begin"/>
            </w:r>
            <w:r w:rsidR="00DB0D21">
              <w:rPr>
                <w:noProof/>
                <w:webHidden/>
              </w:rPr>
              <w:instrText xml:space="preserve"> PAGEREF _Toc64641776 \h </w:instrText>
            </w:r>
            <w:r>
              <w:rPr>
                <w:noProof/>
                <w:webHidden/>
              </w:rPr>
            </w:r>
            <w:r>
              <w:rPr>
                <w:noProof/>
                <w:webHidden/>
              </w:rPr>
              <w:fldChar w:fldCharType="separate"/>
            </w:r>
            <w:r w:rsidR="000C5A2E">
              <w:rPr>
                <w:noProof/>
                <w:webHidden/>
              </w:rPr>
              <w:t>68</w:t>
            </w:r>
            <w:r>
              <w:rPr>
                <w:noProof/>
                <w:webHidden/>
              </w:rPr>
              <w:fldChar w:fldCharType="end"/>
            </w:r>
          </w:hyperlink>
        </w:p>
        <w:p w:rsidR="00DB0D21" w:rsidRDefault="00B061D7">
          <w:pPr>
            <w:pStyle w:val="20"/>
            <w:tabs>
              <w:tab w:val="right" w:leader="dot" w:pos="9350"/>
            </w:tabs>
            <w:rPr>
              <w:rFonts w:asciiTheme="minorHAnsi" w:eastAsiaTheme="minorEastAsia" w:hAnsiTheme="minorHAnsi"/>
              <w:noProof/>
              <w:color w:val="auto"/>
              <w:sz w:val="22"/>
              <w:lang w:val="en-US"/>
            </w:rPr>
          </w:pPr>
          <w:hyperlink w:anchor="_Toc64641777" w:history="1">
            <w:r w:rsidR="00DB0D21" w:rsidRPr="00BB02B6">
              <w:rPr>
                <w:rStyle w:val="-"/>
                <w:noProof/>
                <w:lang w:bidi="hi-IN"/>
              </w:rPr>
              <w:t>7.1 Συζήτηση</w:t>
            </w:r>
            <w:r w:rsidR="00DB0D21">
              <w:rPr>
                <w:noProof/>
                <w:webHidden/>
              </w:rPr>
              <w:tab/>
            </w:r>
            <w:r>
              <w:rPr>
                <w:noProof/>
                <w:webHidden/>
              </w:rPr>
              <w:fldChar w:fldCharType="begin"/>
            </w:r>
            <w:r w:rsidR="00DB0D21">
              <w:rPr>
                <w:noProof/>
                <w:webHidden/>
              </w:rPr>
              <w:instrText xml:space="preserve"> PAGEREF _Toc64641777 \h </w:instrText>
            </w:r>
            <w:r>
              <w:rPr>
                <w:noProof/>
                <w:webHidden/>
              </w:rPr>
            </w:r>
            <w:r>
              <w:rPr>
                <w:noProof/>
                <w:webHidden/>
              </w:rPr>
              <w:fldChar w:fldCharType="separate"/>
            </w:r>
            <w:r w:rsidR="000C5A2E">
              <w:rPr>
                <w:noProof/>
                <w:webHidden/>
              </w:rPr>
              <w:t>68</w:t>
            </w:r>
            <w:r>
              <w:rPr>
                <w:noProof/>
                <w:webHidden/>
              </w:rPr>
              <w:fldChar w:fldCharType="end"/>
            </w:r>
          </w:hyperlink>
        </w:p>
        <w:p w:rsidR="00DB0D21" w:rsidRDefault="00B061D7">
          <w:pPr>
            <w:pStyle w:val="20"/>
            <w:tabs>
              <w:tab w:val="right" w:leader="dot" w:pos="9350"/>
            </w:tabs>
            <w:rPr>
              <w:rFonts w:asciiTheme="minorHAnsi" w:eastAsiaTheme="minorEastAsia" w:hAnsiTheme="minorHAnsi"/>
              <w:noProof/>
              <w:color w:val="auto"/>
              <w:sz w:val="22"/>
              <w:lang w:val="en-US"/>
            </w:rPr>
          </w:pPr>
          <w:hyperlink w:anchor="_Toc64641778" w:history="1">
            <w:r w:rsidR="00DB0D21" w:rsidRPr="00BB02B6">
              <w:rPr>
                <w:rStyle w:val="-"/>
                <w:noProof/>
              </w:rPr>
              <w:t>7.2 Συμπεράσματα</w:t>
            </w:r>
            <w:r w:rsidR="00DB0D21">
              <w:rPr>
                <w:noProof/>
                <w:webHidden/>
              </w:rPr>
              <w:tab/>
            </w:r>
            <w:r>
              <w:rPr>
                <w:noProof/>
                <w:webHidden/>
              </w:rPr>
              <w:fldChar w:fldCharType="begin"/>
            </w:r>
            <w:r w:rsidR="00DB0D21">
              <w:rPr>
                <w:noProof/>
                <w:webHidden/>
              </w:rPr>
              <w:instrText xml:space="preserve"> PAGEREF _Toc64641778 \h </w:instrText>
            </w:r>
            <w:r>
              <w:rPr>
                <w:noProof/>
                <w:webHidden/>
              </w:rPr>
            </w:r>
            <w:r>
              <w:rPr>
                <w:noProof/>
                <w:webHidden/>
              </w:rPr>
              <w:fldChar w:fldCharType="separate"/>
            </w:r>
            <w:r w:rsidR="000C5A2E">
              <w:rPr>
                <w:noProof/>
                <w:webHidden/>
              </w:rPr>
              <w:t>71</w:t>
            </w:r>
            <w:r>
              <w:rPr>
                <w:noProof/>
                <w:webHidden/>
              </w:rPr>
              <w:fldChar w:fldCharType="end"/>
            </w:r>
          </w:hyperlink>
        </w:p>
        <w:p w:rsidR="00DB0D21" w:rsidRDefault="00B061D7">
          <w:pPr>
            <w:pStyle w:val="20"/>
            <w:tabs>
              <w:tab w:val="right" w:leader="dot" w:pos="9350"/>
            </w:tabs>
            <w:rPr>
              <w:rFonts w:asciiTheme="minorHAnsi" w:eastAsiaTheme="minorEastAsia" w:hAnsiTheme="minorHAnsi"/>
              <w:noProof/>
              <w:color w:val="auto"/>
              <w:sz w:val="22"/>
              <w:lang w:val="en-US"/>
            </w:rPr>
          </w:pPr>
          <w:hyperlink w:anchor="_Toc64641779" w:history="1">
            <w:r w:rsidR="00DB0D21" w:rsidRPr="00BB02B6">
              <w:rPr>
                <w:rStyle w:val="-"/>
                <w:noProof/>
              </w:rPr>
              <w:t>7.3 Περιορισμοί – προτάσεις</w:t>
            </w:r>
            <w:r w:rsidR="00DB0D21">
              <w:rPr>
                <w:noProof/>
                <w:webHidden/>
              </w:rPr>
              <w:tab/>
            </w:r>
            <w:r>
              <w:rPr>
                <w:noProof/>
                <w:webHidden/>
              </w:rPr>
              <w:fldChar w:fldCharType="begin"/>
            </w:r>
            <w:r w:rsidR="00DB0D21">
              <w:rPr>
                <w:noProof/>
                <w:webHidden/>
              </w:rPr>
              <w:instrText xml:space="preserve"> PAGEREF _Toc64641779 \h </w:instrText>
            </w:r>
            <w:r>
              <w:rPr>
                <w:noProof/>
                <w:webHidden/>
              </w:rPr>
            </w:r>
            <w:r>
              <w:rPr>
                <w:noProof/>
                <w:webHidden/>
              </w:rPr>
              <w:fldChar w:fldCharType="separate"/>
            </w:r>
            <w:r w:rsidR="000C5A2E">
              <w:rPr>
                <w:noProof/>
                <w:webHidden/>
              </w:rPr>
              <w:t>72</w:t>
            </w:r>
            <w:r>
              <w:rPr>
                <w:noProof/>
                <w:webHidden/>
              </w:rPr>
              <w:fldChar w:fldCharType="end"/>
            </w:r>
          </w:hyperlink>
        </w:p>
        <w:p w:rsidR="00DB0D21" w:rsidRDefault="00B061D7">
          <w:pPr>
            <w:pStyle w:val="10"/>
            <w:rPr>
              <w:rFonts w:asciiTheme="minorHAnsi" w:eastAsiaTheme="minorEastAsia" w:hAnsiTheme="minorHAnsi"/>
              <w:noProof/>
              <w:color w:val="auto"/>
              <w:sz w:val="22"/>
              <w:lang w:val="en-US"/>
            </w:rPr>
          </w:pPr>
          <w:hyperlink w:anchor="_Toc64641780" w:history="1">
            <w:r w:rsidR="00DB0D21" w:rsidRPr="00BB02B6">
              <w:rPr>
                <w:rStyle w:val="-"/>
                <w:noProof/>
              </w:rPr>
              <w:t>Βιβλιογραφία</w:t>
            </w:r>
            <w:r w:rsidR="00DB0D21">
              <w:rPr>
                <w:noProof/>
                <w:webHidden/>
              </w:rPr>
              <w:tab/>
            </w:r>
            <w:r>
              <w:rPr>
                <w:noProof/>
                <w:webHidden/>
              </w:rPr>
              <w:fldChar w:fldCharType="begin"/>
            </w:r>
            <w:r w:rsidR="00DB0D21">
              <w:rPr>
                <w:noProof/>
                <w:webHidden/>
              </w:rPr>
              <w:instrText xml:space="preserve"> PAGEREF _Toc64641780 \h </w:instrText>
            </w:r>
            <w:r>
              <w:rPr>
                <w:noProof/>
                <w:webHidden/>
              </w:rPr>
            </w:r>
            <w:r>
              <w:rPr>
                <w:noProof/>
                <w:webHidden/>
              </w:rPr>
              <w:fldChar w:fldCharType="separate"/>
            </w:r>
            <w:r w:rsidR="000C5A2E">
              <w:rPr>
                <w:noProof/>
                <w:webHidden/>
              </w:rPr>
              <w:t>73</w:t>
            </w:r>
            <w:r>
              <w:rPr>
                <w:noProof/>
                <w:webHidden/>
              </w:rPr>
              <w:fldChar w:fldCharType="end"/>
            </w:r>
          </w:hyperlink>
        </w:p>
        <w:p w:rsidR="00DB0D21" w:rsidRDefault="00B061D7">
          <w:pPr>
            <w:pStyle w:val="20"/>
            <w:tabs>
              <w:tab w:val="right" w:leader="dot" w:pos="9350"/>
            </w:tabs>
            <w:rPr>
              <w:rFonts w:asciiTheme="minorHAnsi" w:eastAsiaTheme="minorEastAsia" w:hAnsiTheme="minorHAnsi"/>
              <w:noProof/>
              <w:color w:val="auto"/>
              <w:sz w:val="22"/>
              <w:lang w:val="en-US"/>
            </w:rPr>
          </w:pPr>
          <w:hyperlink w:anchor="_Toc64641781" w:history="1">
            <w:r w:rsidR="00DB0D21" w:rsidRPr="00BB02B6">
              <w:rPr>
                <w:rStyle w:val="-"/>
                <w:noProof/>
              </w:rPr>
              <w:t>Ελληνική βιβλιογραφία</w:t>
            </w:r>
            <w:r w:rsidR="00DB0D21">
              <w:rPr>
                <w:noProof/>
                <w:webHidden/>
              </w:rPr>
              <w:tab/>
            </w:r>
            <w:r>
              <w:rPr>
                <w:noProof/>
                <w:webHidden/>
              </w:rPr>
              <w:fldChar w:fldCharType="begin"/>
            </w:r>
            <w:r w:rsidR="00DB0D21">
              <w:rPr>
                <w:noProof/>
                <w:webHidden/>
              </w:rPr>
              <w:instrText xml:space="preserve"> PAGEREF _Toc64641781 \h </w:instrText>
            </w:r>
            <w:r>
              <w:rPr>
                <w:noProof/>
                <w:webHidden/>
              </w:rPr>
            </w:r>
            <w:r>
              <w:rPr>
                <w:noProof/>
                <w:webHidden/>
              </w:rPr>
              <w:fldChar w:fldCharType="separate"/>
            </w:r>
            <w:r w:rsidR="000C5A2E">
              <w:rPr>
                <w:noProof/>
                <w:webHidden/>
              </w:rPr>
              <w:t>73</w:t>
            </w:r>
            <w:r>
              <w:rPr>
                <w:noProof/>
                <w:webHidden/>
              </w:rPr>
              <w:fldChar w:fldCharType="end"/>
            </w:r>
          </w:hyperlink>
        </w:p>
        <w:p w:rsidR="00DB0D21" w:rsidRDefault="00B061D7">
          <w:pPr>
            <w:pStyle w:val="20"/>
            <w:tabs>
              <w:tab w:val="right" w:leader="dot" w:pos="9350"/>
            </w:tabs>
            <w:rPr>
              <w:rFonts w:asciiTheme="minorHAnsi" w:eastAsiaTheme="minorEastAsia" w:hAnsiTheme="minorHAnsi"/>
              <w:noProof/>
              <w:color w:val="auto"/>
              <w:sz w:val="22"/>
              <w:lang w:val="en-US"/>
            </w:rPr>
          </w:pPr>
          <w:hyperlink w:anchor="_Toc64641782" w:history="1">
            <w:r w:rsidR="00DB0D21" w:rsidRPr="00BB02B6">
              <w:rPr>
                <w:rStyle w:val="-"/>
                <w:noProof/>
              </w:rPr>
              <w:t>Ξενόγλωσση</w:t>
            </w:r>
            <w:r w:rsidR="00DB0D21" w:rsidRPr="00BB02B6">
              <w:rPr>
                <w:rStyle w:val="-"/>
                <w:noProof/>
                <w:lang w:val="en-US"/>
              </w:rPr>
              <w:t xml:space="preserve"> </w:t>
            </w:r>
            <w:r w:rsidR="00DB0D21" w:rsidRPr="00BB02B6">
              <w:rPr>
                <w:rStyle w:val="-"/>
                <w:noProof/>
              </w:rPr>
              <w:t>βιβλιογραφία</w:t>
            </w:r>
            <w:r w:rsidR="00DB0D21">
              <w:rPr>
                <w:noProof/>
                <w:webHidden/>
              </w:rPr>
              <w:tab/>
            </w:r>
            <w:r>
              <w:rPr>
                <w:noProof/>
                <w:webHidden/>
              </w:rPr>
              <w:fldChar w:fldCharType="begin"/>
            </w:r>
            <w:r w:rsidR="00DB0D21">
              <w:rPr>
                <w:noProof/>
                <w:webHidden/>
              </w:rPr>
              <w:instrText xml:space="preserve"> PAGEREF _Toc64641782 \h </w:instrText>
            </w:r>
            <w:r>
              <w:rPr>
                <w:noProof/>
                <w:webHidden/>
              </w:rPr>
            </w:r>
            <w:r>
              <w:rPr>
                <w:noProof/>
                <w:webHidden/>
              </w:rPr>
              <w:fldChar w:fldCharType="separate"/>
            </w:r>
            <w:r w:rsidR="000C5A2E">
              <w:rPr>
                <w:noProof/>
                <w:webHidden/>
              </w:rPr>
              <w:t>75</w:t>
            </w:r>
            <w:r>
              <w:rPr>
                <w:noProof/>
                <w:webHidden/>
              </w:rPr>
              <w:fldChar w:fldCharType="end"/>
            </w:r>
          </w:hyperlink>
        </w:p>
        <w:p w:rsidR="001B3514" w:rsidRDefault="00B061D7">
          <w:r>
            <w:fldChar w:fldCharType="end"/>
          </w:r>
        </w:p>
      </w:sdtContent>
    </w:sdt>
    <w:p w:rsidR="001B3514" w:rsidRDefault="00782E3E">
      <w:pPr>
        <w:spacing w:line="259" w:lineRule="auto"/>
        <w:jc w:val="left"/>
        <w:rPr>
          <w:rFonts w:eastAsiaTheme="majorEastAsia" w:cstheme="majorBidi"/>
          <w:b/>
          <w:sz w:val="32"/>
          <w:szCs w:val="32"/>
          <w:lang w:eastAsia="zh-CN" w:bidi="hi-IN"/>
        </w:rPr>
      </w:pPr>
      <w:r>
        <w:br w:type="page"/>
      </w:r>
    </w:p>
    <w:p w:rsidR="001B3514" w:rsidRPr="00DB0D21" w:rsidRDefault="00782E3E">
      <w:pPr>
        <w:pStyle w:val="1"/>
        <w:rPr>
          <w:lang w:val="en-US"/>
        </w:rPr>
      </w:pPr>
      <w:bookmarkStart w:id="4" w:name="_Toc64641745"/>
      <w:r>
        <w:rPr>
          <w:lang w:eastAsia="zh-CN" w:bidi="hi-IN"/>
        </w:rPr>
        <w:lastRenderedPageBreak/>
        <w:t>Κατάλογος</w:t>
      </w:r>
      <w:r w:rsidRPr="00DB0D21">
        <w:rPr>
          <w:lang w:val="en-US" w:eastAsia="zh-CN" w:bidi="hi-IN"/>
        </w:rPr>
        <w:t xml:space="preserve"> </w:t>
      </w:r>
      <w:r>
        <w:rPr>
          <w:lang w:eastAsia="zh-CN" w:bidi="hi-IN"/>
        </w:rPr>
        <w:t>Πινάκων</w:t>
      </w:r>
      <w:bookmarkEnd w:id="4"/>
    </w:p>
    <w:p w:rsidR="00DB0D21" w:rsidRDefault="00B061D7">
      <w:pPr>
        <w:pStyle w:val="10"/>
        <w:rPr>
          <w:rFonts w:asciiTheme="minorHAnsi" w:eastAsiaTheme="minorEastAsia" w:hAnsiTheme="minorHAnsi"/>
          <w:noProof/>
          <w:color w:val="auto"/>
          <w:sz w:val="22"/>
          <w:lang w:val="en-US"/>
        </w:rPr>
      </w:pPr>
      <w:r>
        <w:fldChar w:fldCharType="begin"/>
      </w:r>
      <w:r w:rsidR="00DB0D21">
        <w:instrText xml:space="preserve"> TOC \h \z \t "Caption,1,TOC Heading,1" </w:instrText>
      </w:r>
      <w:r>
        <w:fldChar w:fldCharType="separate"/>
      </w:r>
      <w:hyperlink w:anchor="_Toc64641807" w:history="1">
        <w:r w:rsidR="00DB0D21" w:rsidRPr="004D1D1B">
          <w:rPr>
            <w:rStyle w:val="-"/>
            <w:b/>
            <w:noProof/>
          </w:rPr>
          <w:t>Περιεχόμενα</w:t>
        </w:r>
        <w:r w:rsidR="00DB0D21">
          <w:rPr>
            <w:noProof/>
            <w:webHidden/>
          </w:rPr>
          <w:tab/>
        </w:r>
        <w:r>
          <w:rPr>
            <w:noProof/>
            <w:webHidden/>
          </w:rPr>
          <w:fldChar w:fldCharType="begin"/>
        </w:r>
        <w:r w:rsidR="00DB0D21">
          <w:rPr>
            <w:noProof/>
            <w:webHidden/>
          </w:rPr>
          <w:instrText xml:space="preserve"> PAGEREF _Toc64641807 \h </w:instrText>
        </w:r>
        <w:r>
          <w:rPr>
            <w:noProof/>
            <w:webHidden/>
          </w:rPr>
        </w:r>
        <w:r>
          <w:rPr>
            <w:noProof/>
            <w:webHidden/>
          </w:rPr>
          <w:fldChar w:fldCharType="separate"/>
        </w:r>
        <w:r w:rsidR="001D06AA">
          <w:rPr>
            <w:noProof/>
            <w:webHidden/>
          </w:rPr>
          <w:t>7</w:t>
        </w:r>
        <w:r>
          <w:rPr>
            <w:noProof/>
            <w:webHidden/>
          </w:rPr>
          <w:fldChar w:fldCharType="end"/>
        </w:r>
      </w:hyperlink>
    </w:p>
    <w:p w:rsidR="00DB0D21" w:rsidRDefault="00B061D7">
      <w:pPr>
        <w:pStyle w:val="10"/>
        <w:rPr>
          <w:rFonts w:asciiTheme="minorHAnsi" w:eastAsiaTheme="minorEastAsia" w:hAnsiTheme="minorHAnsi"/>
          <w:noProof/>
          <w:color w:val="auto"/>
          <w:sz w:val="22"/>
          <w:lang w:val="en-US"/>
        </w:rPr>
      </w:pPr>
      <w:hyperlink w:anchor="_Toc64641808" w:history="1">
        <w:r w:rsidR="00DB0D21" w:rsidRPr="004D1D1B">
          <w:rPr>
            <w:rStyle w:val="-"/>
            <w:noProof/>
          </w:rPr>
          <w:t>Πίνακας 1 Κατηγορίες 10ετούς καρδιαγγειακού κινδύνου</w:t>
        </w:r>
        <w:r w:rsidR="00DB0D21">
          <w:rPr>
            <w:noProof/>
            <w:webHidden/>
          </w:rPr>
          <w:tab/>
        </w:r>
        <w:r>
          <w:rPr>
            <w:noProof/>
            <w:webHidden/>
          </w:rPr>
          <w:fldChar w:fldCharType="begin"/>
        </w:r>
        <w:r w:rsidR="00DB0D21">
          <w:rPr>
            <w:noProof/>
            <w:webHidden/>
          </w:rPr>
          <w:instrText xml:space="preserve"> PAGEREF _Toc64641808 \h </w:instrText>
        </w:r>
        <w:r>
          <w:rPr>
            <w:noProof/>
            <w:webHidden/>
          </w:rPr>
        </w:r>
        <w:r>
          <w:rPr>
            <w:noProof/>
            <w:webHidden/>
          </w:rPr>
          <w:fldChar w:fldCharType="separate"/>
        </w:r>
        <w:r w:rsidR="001D06AA">
          <w:rPr>
            <w:noProof/>
            <w:webHidden/>
          </w:rPr>
          <w:t>15</w:t>
        </w:r>
        <w:r>
          <w:rPr>
            <w:noProof/>
            <w:webHidden/>
          </w:rPr>
          <w:fldChar w:fldCharType="end"/>
        </w:r>
      </w:hyperlink>
    </w:p>
    <w:p w:rsidR="00DB0D21" w:rsidRDefault="00B061D7">
      <w:pPr>
        <w:pStyle w:val="10"/>
        <w:rPr>
          <w:rFonts w:asciiTheme="minorHAnsi" w:eastAsiaTheme="minorEastAsia" w:hAnsiTheme="minorHAnsi"/>
          <w:noProof/>
          <w:color w:val="auto"/>
          <w:sz w:val="22"/>
          <w:lang w:val="en-US"/>
        </w:rPr>
      </w:pPr>
      <w:hyperlink w:anchor="_Toc64641809" w:history="1">
        <w:r w:rsidR="00DB0D21" w:rsidRPr="004D1D1B">
          <w:rPr>
            <w:rStyle w:val="-"/>
            <w:noProof/>
          </w:rPr>
          <w:t>Πίνακας 2 Ταξινόμηση Αρτηριακής Πίεσης</w:t>
        </w:r>
        <w:r w:rsidR="00DB0D21">
          <w:rPr>
            <w:noProof/>
            <w:webHidden/>
          </w:rPr>
          <w:tab/>
        </w:r>
        <w:r>
          <w:rPr>
            <w:noProof/>
            <w:webHidden/>
          </w:rPr>
          <w:fldChar w:fldCharType="begin"/>
        </w:r>
        <w:r w:rsidR="00DB0D21">
          <w:rPr>
            <w:noProof/>
            <w:webHidden/>
          </w:rPr>
          <w:instrText xml:space="preserve"> PAGEREF _Toc64641809 \h </w:instrText>
        </w:r>
        <w:r>
          <w:rPr>
            <w:noProof/>
            <w:webHidden/>
          </w:rPr>
        </w:r>
        <w:r>
          <w:rPr>
            <w:noProof/>
            <w:webHidden/>
          </w:rPr>
          <w:fldChar w:fldCharType="separate"/>
        </w:r>
        <w:r w:rsidR="001D06AA">
          <w:rPr>
            <w:noProof/>
            <w:webHidden/>
          </w:rPr>
          <w:t>16</w:t>
        </w:r>
        <w:r>
          <w:rPr>
            <w:noProof/>
            <w:webHidden/>
          </w:rPr>
          <w:fldChar w:fldCharType="end"/>
        </w:r>
      </w:hyperlink>
    </w:p>
    <w:p w:rsidR="00DB0D21" w:rsidRDefault="00B061D7">
      <w:pPr>
        <w:pStyle w:val="10"/>
        <w:rPr>
          <w:rFonts w:asciiTheme="minorHAnsi" w:eastAsiaTheme="minorEastAsia" w:hAnsiTheme="minorHAnsi"/>
          <w:noProof/>
          <w:color w:val="auto"/>
          <w:sz w:val="22"/>
          <w:lang w:val="en-US"/>
        </w:rPr>
      </w:pPr>
      <w:hyperlink w:anchor="_Toc64641810" w:history="1">
        <w:r w:rsidR="00DB0D21" w:rsidRPr="004D1D1B">
          <w:rPr>
            <w:rStyle w:val="-"/>
            <w:noProof/>
          </w:rPr>
          <w:t>Πίνακας 3 Κατανομή του φύλου της οικογενειακής και επαγγελματικής κατάστασης του δείγματος</w:t>
        </w:r>
        <w:r w:rsidR="00DB0D21">
          <w:rPr>
            <w:noProof/>
            <w:webHidden/>
          </w:rPr>
          <w:tab/>
        </w:r>
        <w:r>
          <w:rPr>
            <w:noProof/>
            <w:webHidden/>
          </w:rPr>
          <w:fldChar w:fldCharType="begin"/>
        </w:r>
        <w:r w:rsidR="00DB0D21">
          <w:rPr>
            <w:noProof/>
            <w:webHidden/>
          </w:rPr>
          <w:instrText xml:space="preserve"> PAGEREF _Toc64641810 \h </w:instrText>
        </w:r>
        <w:r>
          <w:rPr>
            <w:noProof/>
            <w:webHidden/>
          </w:rPr>
        </w:r>
        <w:r>
          <w:rPr>
            <w:noProof/>
            <w:webHidden/>
          </w:rPr>
          <w:fldChar w:fldCharType="separate"/>
        </w:r>
        <w:r w:rsidR="001D06AA">
          <w:rPr>
            <w:noProof/>
            <w:webHidden/>
          </w:rPr>
          <w:t>45</w:t>
        </w:r>
        <w:r>
          <w:rPr>
            <w:noProof/>
            <w:webHidden/>
          </w:rPr>
          <w:fldChar w:fldCharType="end"/>
        </w:r>
      </w:hyperlink>
    </w:p>
    <w:p w:rsidR="00DB0D21" w:rsidRDefault="00B061D7">
      <w:pPr>
        <w:pStyle w:val="10"/>
        <w:rPr>
          <w:rFonts w:asciiTheme="minorHAnsi" w:eastAsiaTheme="minorEastAsia" w:hAnsiTheme="minorHAnsi"/>
          <w:noProof/>
          <w:color w:val="auto"/>
          <w:sz w:val="22"/>
          <w:lang w:val="en-US"/>
        </w:rPr>
      </w:pPr>
      <w:hyperlink w:anchor="_Toc64641811" w:history="1">
        <w:r w:rsidR="00DB0D21" w:rsidRPr="004D1D1B">
          <w:rPr>
            <w:rStyle w:val="-"/>
            <w:noProof/>
          </w:rPr>
          <w:t>Πίνακας 4 Κατανομή οικονομικού προφίλ του δείγματος της έρευνας</w:t>
        </w:r>
        <w:r w:rsidR="00DB0D21">
          <w:rPr>
            <w:noProof/>
            <w:webHidden/>
          </w:rPr>
          <w:tab/>
        </w:r>
        <w:r>
          <w:rPr>
            <w:noProof/>
            <w:webHidden/>
          </w:rPr>
          <w:fldChar w:fldCharType="begin"/>
        </w:r>
        <w:r w:rsidR="00DB0D21">
          <w:rPr>
            <w:noProof/>
            <w:webHidden/>
          </w:rPr>
          <w:instrText xml:space="preserve"> PAGEREF _Toc64641811 \h </w:instrText>
        </w:r>
        <w:r>
          <w:rPr>
            <w:noProof/>
            <w:webHidden/>
          </w:rPr>
        </w:r>
        <w:r>
          <w:rPr>
            <w:noProof/>
            <w:webHidden/>
          </w:rPr>
          <w:fldChar w:fldCharType="separate"/>
        </w:r>
        <w:r w:rsidR="001D06AA">
          <w:rPr>
            <w:noProof/>
            <w:webHidden/>
          </w:rPr>
          <w:t>46</w:t>
        </w:r>
        <w:r>
          <w:rPr>
            <w:noProof/>
            <w:webHidden/>
          </w:rPr>
          <w:fldChar w:fldCharType="end"/>
        </w:r>
      </w:hyperlink>
    </w:p>
    <w:p w:rsidR="00DB0D21" w:rsidRDefault="00B061D7">
      <w:pPr>
        <w:pStyle w:val="10"/>
        <w:rPr>
          <w:rFonts w:asciiTheme="minorHAnsi" w:eastAsiaTheme="minorEastAsia" w:hAnsiTheme="minorHAnsi"/>
          <w:noProof/>
          <w:color w:val="auto"/>
          <w:sz w:val="22"/>
          <w:lang w:val="en-US"/>
        </w:rPr>
      </w:pPr>
      <w:hyperlink w:anchor="_Toc64641812" w:history="1">
        <w:r w:rsidR="00DB0D21" w:rsidRPr="004D1D1B">
          <w:rPr>
            <w:rStyle w:val="-"/>
            <w:noProof/>
          </w:rPr>
          <w:t>Πίνακας 5 Κατανομή της ύπαρξης αδελφών και της σειράς γέννησης του δείγματος</w:t>
        </w:r>
        <w:r w:rsidR="00DB0D21">
          <w:rPr>
            <w:noProof/>
            <w:webHidden/>
          </w:rPr>
          <w:tab/>
        </w:r>
        <w:r>
          <w:rPr>
            <w:noProof/>
            <w:webHidden/>
          </w:rPr>
          <w:fldChar w:fldCharType="begin"/>
        </w:r>
        <w:r w:rsidR="00DB0D21">
          <w:rPr>
            <w:noProof/>
            <w:webHidden/>
          </w:rPr>
          <w:instrText xml:space="preserve"> PAGEREF _Toc64641812 \h </w:instrText>
        </w:r>
        <w:r>
          <w:rPr>
            <w:noProof/>
            <w:webHidden/>
          </w:rPr>
        </w:r>
        <w:r>
          <w:rPr>
            <w:noProof/>
            <w:webHidden/>
          </w:rPr>
          <w:fldChar w:fldCharType="separate"/>
        </w:r>
        <w:r w:rsidR="001D06AA">
          <w:rPr>
            <w:noProof/>
            <w:webHidden/>
          </w:rPr>
          <w:t>47</w:t>
        </w:r>
        <w:r>
          <w:rPr>
            <w:noProof/>
            <w:webHidden/>
          </w:rPr>
          <w:fldChar w:fldCharType="end"/>
        </w:r>
      </w:hyperlink>
    </w:p>
    <w:p w:rsidR="00DB0D21" w:rsidRDefault="00B061D7">
      <w:pPr>
        <w:pStyle w:val="10"/>
        <w:rPr>
          <w:rFonts w:asciiTheme="minorHAnsi" w:eastAsiaTheme="minorEastAsia" w:hAnsiTheme="minorHAnsi"/>
          <w:noProof/>
          <w:color w:val="auto"/>
          <w:sz w:val="22"/>
          <w:lang w:val="en-US"/>
        </w:rPr>
      </w:pPr>
      <w:hyperlink w:anchor="_Toc64641813" w:history="1">
        <w:r w:rsidR="00DB0D21" w:rsidRPr="004D1D1B">
          <w:rPr>
            <w:rStyle w:val="-"/>
            <w:noProof/>
          </w:rPr>
          <w:t>Πίνακας 6 Κατανομή της ύπαρξης παιδιών και της ποιότητας σχέσεων με την οικογένεια</w:t>
        </w:r>
        <w:r w:rsidR="00DB0D21">
          <w:rPr>
            <w:noProof/>
            <w:webHidden/>
          </w:rPr>
          <w:tab/>
        </w:r>
        <w:r>
          <w:rPr>
            <w:noProof/>
            <w:webHidden/>
          </w:rPr>
          <w:fldChar w:fldCharType="begin"/>
        </w:r>
        <w:r w:rsidR="00DB0D21">
          <w:rPr>
            <w:noProof/>
            <w:webHidden/>
          </w:rPr>
          <w:instrText xml:space="preserve"> PAGEREF _Toc64641813 \h </w:instrText>
        </w:r>
        <w:r>
          <w:rPr>
            <w:noProof/>
            <w:webHidden/>
          </w:rPr>
        </w:r>
        <w:r>
          <w:rPr>
            <w:noProof/>
            <w:webHidden/>
          </w:rPr>
          <w:fldChar w:fldCharType="separate"/>
        </w:r>
        <w:r w:rsidR="001D06AA">
          <w:rPr>
            <w:noProof/>
            <w:webHidden/>
          </w:rPr>
          <w:t>48</w:t>
        </w:r>
        <w:r>
          <w:rPr>
            <w:noProof/>
            <w:webHidden/>
          </w:rPr>
          <w:fldChar w:fldCharType="end"/>
        </w:r>
      </w:hyperlink>
    </w:p>
    <w:p w:rsidR="00DB0D21" w:rsidRDefault="00B061D7">
      <w:pPr>
        <w:pStyle w:val="10"/>
        <w:rPr>
          <w:rFonts w:asciiTheme="minorHAnsi" w:eastAsiaTheme="minorEastAsia" w:hAnsiTheme="minorHAnsi"/>
          <w:noProof/>
          <w:color w:val="auto"/>
          <w:sz w:val="22"/>
          <w:lang w:val="en-US"/>
        </w:rPr>
      </w:pPr>
      <w:hyperlink w:anchor="_Toc64641814" w:history="1">
        <w:r w:rsidR="00DB0D21" w:rsidRPr="004D1D1B">
          <w:rPr>
            <w:rStyle w:val="-"/>
            <w:noProof/>
          </w:rPr>
          <w:t>Πίνακας 7 Κατανομή της ομοιότητας και της αδυναμίας του δείγματος</w:t>
        </w:r>
        <w:r w:rsidR="00DB0D21">
          <w:rPr>
            <w:noProof/>
            <w:webHidden/>
          </w:rPr>
          <w:tab/>
        </w:r>
        <w:r>
          <w:rPr>
            <w:noProof/>
            <w:webHidden/>
          </w:rPr>
          <w:fldChar w:fldCharType="begin"/>
        </w:r>
        <w:r w:rsidR="00DB0D21">
          <w:rPr>
            <w:noProof/>
            <w:webHidden/>
          </w:rPr>
          <w:instrText xml:space="preserve"> PAGEREF _Toc64641814 \h </w:instrText>
        </w:r>
        <w:r>
          <w:rPr>
            <w:noProof/>
            <w:webHidden/>
          </w:rPr>
        </w:r>
        <w:r>
          <w:rPr>
            <w:noProof/>
            <w:webHidden/>
          </w:rPr>
          <w:fldChar w:fldCharType="separate"/>
        </w:r>
        <w:r w:rsidR="001D06AA">
          <w:rPr>
            <w:noProof/>
            <w:webHidden/>
          </w:rPr>
          <w:t>49</w:t>
        </w:r>
        <w:r>
          <w:rPr>
            <w:noProof/>
            <w:webHidden/>
          </w:rPr>
          <w:fldChar w:fldCharType="end"/>
        </w:r>
      </w:hyperlink>
    </w:p>
    <w:p w:rsidR="00DB0D21" w:rsidRDefault="00B061D7">
      <w:pPr>
        <w:pStyle w:val="10"/>
        <w:rPr>
          <w:rFonts w:asciiTheme="minorHAnsi" w:eastAsiaTheme="minorEastAsia" w:hAnsiTheme="minorHAnsi"/>
          <w:noProof/>
          <w:color w:val="auto"/>
          <w:sz w:val="22"/>
          <w:lang w:val="en-US"/>
        </w:rPr>
      </w:pPr>
      <w:hyperlink w:anchor="_Toc64641815" w:history="1">
        <w:r w:rsidR="00DB0D21" w:rsidRPr="004D1D1B">
          <w:rPr>
            <w:rStyle w:val="-"/>
            <w:noProof/>
          </w:rPr>
          <w:t>Πίνακας 8 Κατανομή της διαμονής και των κοινωνικών χαρακτηριστικών του δείγματος</w:t>
        </w:r>
        <w:r w:rsidR="00DB0D21">
          <w:rPr>
            <w:noProof/>
            <w:webHidden/>
          </w:rPr>
          <w:tab/>
        </w:r>
        <w:r>
          <w:rPr>
            <w:noProof/>
            <w:webHidden/>
          </w:rPr>
          <w:fldChar w:fldCharType="begin"/>
        </w:r>
        <w:r w:rsidR="00DB0D21">
          <w:rPr>
            <w:noProof/>
            <w:webHidden/>
          </w:rPr>
          <w:instrText xml:space="preserve"> PAGEREF _Toc64641815 \h </w:instrText>
        </w:r>
        <w:r>
          <w:rPr>
            <w:noProof/>
            <w:webHidden/>
          </w:rPr>
        </w:r>
        <w:r>
          <w:rPr>
            <w:noProof/>
            <w:webHidden/>
          </w:rPr>
          <w:fldChar w:fldCharType="separate"/>
        </w:r>
        <w:r w:rsidR="001D06AA">
          <w:rPr>
            <w:noProof/>
            <w:webHidden/>
          </w:rPr>
          <w:t>50</w:t>
        </w:r>
        <w:r>
          <w:rPr>
            <w:noProof/>
            <w:webHidden/>
          </w:rPr>
          <w:fldChar w:fldCharType="end"/>
        </w:r>
      </w:hyperlink>
    </w:p>
    <w:p w:rsidR="00DB0D21" w:rsidRDefault="00B061D7">
      <w:pPr>
        <w:pStyle w:val="10"/>
        <w:rPr>
          <w:rFonts w:asciiTheme="minorHAnsi" w:eastAsiaTheme="minorEastAsia" w:hAnsiTheme="minorHAnsi"/>
          <w:noProof/>
          <w:color w:val="auto"/>
          <w:sz w:val="22"/>
          <w:lang w:val="en-US"/>
        </w:rPr>
      </w:pPr>
      <w:hyperlink w:anchor="_Toc64641816" w:history="1">
        <w:r w:rsidR="00DB0D21" w:rsidRPr="004D1D1B">
          <w:rPr>
            <w:rStyle w:val="-"/>
            <w:noProof/>
          </w:rPr>
          <w:t>Πίνακας 9 Κατανομή του τόπου διαμονής και του εκπαιδευτικού επιπέδου του δείγματος</w:t>
        </w:r>
        <w:r w:rsidR="00DB0D21">
          <w:rPr>
            <w:noProof/>
            <w:webHidden/>
          </w:rPr>
          <w:tab/>
        </w:r>
        <w:r>
          <w:rPr>
            <w:noProof/>
            <w:webHidden/>
          </w:rPr>
          <w:fldChar w:fldCharType="begin"/>
        </w:r>
        <w:r w:rsidR="00DB0D21">
          <w:rPr>
            <w:noProof/>
            <w:webHidden/>
          </w:rPr>
          <w:instrText xml:space="preserve"> PAGEREF _Toc64641816 \h </w:instrText>
        </w:r>
        <w:r>
          <w:rPr>
            <w:noProof/>
            <w:webHidden/>
          </w:rPr>
        </w:r>
        <w:r>
          <w:rPr>
            <w:noProof/>
            <w:webHidden/>
          </w:rPr>
          <w:fldChar w:fldCharType="separate"/>
        </w:r>
        <w:r w:rsidR="001D06AA">
          <w:rPr>
            <w:noProof/>
            <w:webHidden/>
          </w:rPr>
          <w:t>51</w:t>
        </w:r>
        <w:r>
          <w:rPr>
            <w:noProof/>
            <w:webHidden/>
          </w:rPr>
          <w:fldChar w:fldCharType="end"/>
        </w:r>
      </w:hyperlink>
    </w:p>
    <w:p w:rsidR="00DB0D21" w:rsidRDefault="00B061D7">
      <w:pPr>
        <w:pStyle w:val="10"/>
        <w:rPr>
          <w:rFonts w:asciiTheme="minorHAnsi" w:eastAsiaTheme="minorEastAsia" w:hAnsiTheme="minorHAnsi"/>
          <w:noProof/>
          <w:color w:val="auto"/>
          <w:sz w:val="22"/>
          <w:lang w:val="en-US"/>
        </w:rPr>
      </w:pPr>
      <w:hyperlink w:anchor="_Toc64641817" w:history="1">
        <w:r w:rsidR="00DB0D21" w:rsidRPr="004D1D1B">
          <w:rPr>
            <w:rStyle w:val="-"/>
            <w:noProof/>
          </w:rPr>
          <w:t>Πίνακας 10 Κατανομή της επίδρασης του COVID 19 στο δείγμα της έρευνας</w:t>
        </w:r>
        <w:r w:rsidR="00DB0D21">
          <w:rPr>
            <w:noProof/>
            <w:webHidden/>
          </w:rPr>
          <w:tab/>
        </w:r>
        <w:r>
          <w:rPr>
            <w:noProof/>
            <w:webHidden/>
          </w:rPr>
          <w:fldChar w:fldCharType="begin"/>
        </w:r>
        <w:r w:rsidR="00DB0D21">
          <w:rPr>
            <w:noProof/>
            <w:webHidden/>
          </w:rPr>
          <w:instrText xml:space="preserve"> PAGEREF _Toc64641817 \h </w:instrText>
        </w:r>
        <w:r>
          <w:rPr>
            <w:noProof/>
            <w:webHidden/>
          </w:rPr>
        </w:r>
        <w:r>
          <w:rPr>
            <w:noProof/>
            <w:webHidden/>
          </w:rPr>
          <w:fldChar w:fldCharType="separate"/>
        </w:r>
        <w:r w:rsidR="001D06AA">
          <w:rPr>
            <w:noProof/>
            <w:webHidden/>
          </w:rPr>
          <w:t>52</w:t>
        </w:r>
        <w:r>
          <w:rPr>
            <w:noProof/>
            <w:webHidden/>
          </w:rPr>
          <w:fldChar w:fldCharType="end"/>
        </w:r>
      </w:hyperlink>
    </w:p>
    <w:p w:rsidR="00DB0D21" w:rsidRDefault="00B061D7">
      <w:pPr>
        <w:pStyle w:val="10"/>
        <w:rPr>
          <w:rFonts w:asciiTheme="minorHAnsi" w:eastAsiaTheme="minorEastAsia" w:hAnsiTheme="minorHAnsi"/>
          <w:noProof/>
          <w:color w:val="auto"/>
          <w:sz w:val="22"/>
          <w:lang w:val="en-US"/>
        </w:rPr>
      </w:pPr>
      <w:hyperlink w:anchor="_Toc64641818" w:history="1">
        <w:r w:rsidR="00DB0D21" w:rsidRPr="004D1D1B">
          <w:rPr>
            <w:rStyle w:val="-"/>
            <w:noProof/>
          </w:rPr>
          <w:t>Πίνακας 11 Μέση τιμή της ηλικίας, του εισοδήματος του πλήθους αδερφών και της αγωγής του δείγματος</w:t>
        </w:r>
        <w:r w:rsidR="00DB0D21">
          <w:rPr>
            <w:noProof/>
            <w:webHidden/>
          </w:rPr>
          <w:tab/>
        </w:r>
        <w:r>
          <w:rPr>
            <w:noProof/>
            <w:webHidden/>
          </w:rPr>
          <w:fldChar w:fldCharType="begin"/>
        </w:r>
        <w:r w:rsidR="00DB0D21">
          <w:rPr>
            <w:noProof/>
            <w:webHidden/>
          </w:rPr>
          <w:instrText xml:space="preserve"> PAGEREF _Toc64641818 \h </w:instrText>
        </w:r>
        <w:r>
          <w:rPr>
            <w:noProof/>
            <w:webHidden/>
          </w:rPr>
        </w:r>
        <w:r>
          <w:rPr>
            <w:noProof/>
            <w:webHidden/>
          </w:rPr>
          <w:fldChar w:fldCharType="separate"/>
        </w:r>
        <w:r w:rsidR="001D06AA">
          <w:rPr>
            <w:noProof/>
            <w:webHidden/>
          </w:rPr>
          <w:t>52</w:t>
        </w:r>
        <w:r>
          <w:rPr>
            <w:noProof/>
            <w:webHidden/>
          </w:rPr>
          <w:fldChar w:fldCharType="end"/>
        </w:r>
      </w:hyperlink>
    </w:p>
    <w:p w:rsidR="00DB0D21" w:rsidRDefault="00B061D7">
      <w:pPr>
        <w:pStyle w:val="10"/>
        <w:rPr>
          <w:rFonts w:asciiTheme="minorHAnsi" w:eastAsiaTheme="minorEastAsia" w:hAnsiTheme="minorHAnsi"/>
          <w:noProof/>
          <w:color w:val="auto"/>
          <w:sz w:val="22"/>
          <w:lang w:val="en-US"/>
        </w:rPr>
      </w:pPr>
      <w:hyperlink w:anchor="_Toc64641819" w:history="1">
        <w:r w:rsidR="00DB0D21" w:rsidRPr="004D1D1B">
          <w:rPr>
            <w:rStyle w:val="-"/>
            <w:noProof/>
          </w:rPr>
          <w:t>Πίνακας 12 Μέση τιμή των κλιμάκων BMQ, MMAS, SCL90 και EPQ</w:t>
        </w:r>
        <w:r w:rsidR="00DB0D21">
          <w:rPr>
            <w:noProof/>
            <w:webHidden/>
          </w:rPr>
          <w:tab/>
        </w:r>
        <w:r>
          <w:rPr>
            <w:noProof/>
            <w:webHidden/>
          </w:rPr>
          <w:fldChar w:fldCharType="begin"/>
        </w:r>
        <w:r w:rsidR="00DB0D21">
          <w:rPr>
            <w:noProof/>
            <w:webHidden/>
          </w:rPr>
          <w:instrText xml:space="preserve"> PAGEREF _Toc64641819 \h </w:instrText>
        </w:r>
        <w:r>
          <w:rPr>
            <w:noProof/>
            <w:webHidden/>
          </w:rPr>
        </w:r>
        <w:r>
          <w:rPr>
            <w:noProof/>
            <w:webHidden/>
          </w:rPr>
          <w:fldChar w:fldCharType="separate"/>
        </w:r>
        <w:r w:rsidR="001D06AA">
          <w:rPr>
            <w:noProof/>
            <w:webHidden/>
          </w:rPr>
          <w:t>53</w:t>
        </w:r>
        <w:r>
          <w:rPr>
            <w:noProof/>
            <w:webHidden/>
          </w:rPr>
          <w:fldChar w:fldCharType="end"/>
        </w:r>
      </w:hyperlink>
    </w:p>
    <w:p w:rsidR="00DB0D21" w:rsidRDefault="00B061D7">
      <w:pPr>
        <w:pStyle w:val="10"/>
        <w:rPr>
          <w:rFonts w:asciiTheme="minorHAnsi" w:eastAsiaTheme="minorEastAsia" w:hAnsiTheme="minorHAnsi"/>
          <w:noProof/>
          <w:color w:val="auto"/>
          <w:sz w:val="22"/>
          <w:lang w:val="en-US"/>
        </w:rPr>
      </w:pPr>
      <w:hyperlink w:anchor="_Toc64641820" w:history="1">
        <w:r w:rsidR="00DB0D21" w:rsidRPr="004D1D1B">
          <w:rPr>
            <w:rStyle w:val="-"/>
            <w:noProof/>
          </w:rPr>
          <w:t>Πίνακας 13 Αποτελέσματα συσχέτισης του φύλου του δείγματος</w:t>
        </w:r>
        <w:r w:rsidR="00DB0D21">
          <w:rPr>
            <w:noProof/>
            <w:webHidden/>
          </w:rPr>
          <w:tab/>
        </w:r>
        <w:r>
          <w:rPr>
            <w:noProof/>
            <w:webHidden/>
          </w:rPr>
          <w:fldChar w:fldCharType="begin"/>
        </w:r>
        <w:r w:rsidR="00DB0D21">
          <w:rPr>
            <w:noProof/>
            <w:webHidden/>
          </w:rPr>
          <w:instrText xml:space="preserve"> PAGEREF _Toc64641820 \h </w:instrText>
        </w:r>
        <w:r>
          <w:rPr>
            <w:noProof/>
            <w:webHidden/>
          </w:rPr>
        </w:r>
        <w:r>
          <w:rPr>
            <w:noProof/>
            <w:webHidden/>
          </w:rPr>
          <w:fldChar w:fldCharType="separate"/>
        </w:r>
        <w:r w:rsidR="001D06AA">
          <w:rPr>
            <w:noProof/>
            <w:webHidden/>
          </w:rPr>
          <w:t>55</w:t>
        </w:r>
        <w:r>
          <w:rPr>
            <w:noProof/>
            <w:webHidden/>
          </w:rPr>
          <w:fldChar w:fldCharType="end"/>
        </w:r>
      </w:hyperlink>
    </w:p>
    <w:p w:rsidR="00DB0D21" w:rsidRDefault="00B061D7">
      <w:pPr>
        <w:pStyle w:val="10"/>
        <w:rPr>
          <w:rFonts w:asciiTheme="minorHAnsi" w:eastAsiaTheme="minorEastAsia" w:hAnsiTheme="minorHAnsi"/>
          <w:noProof/>
          <w:color w:val="auto"/>
          <w:sz w:val="22"/>
          <w:lang w:val="en-US"/>
        </w:rPr>
      </w:pPr>
      <w:hyperlink w:anchor="_Toc64641821" w:history="1">
        <w:r w:rsidR="00DB0D21" w:rsidRPr="004D1D1B">
          <w:rPr>
            <w:rStyle w:val="-"/>
            <w:noProof/>
          </w:rPr>
          <w:t>Πίνακας 14 Αποτελέσματα συσχέτισης της παροχής οικονομικής βοήθειας με τη μεταβλητή EPQ του δείγματος</w:t>
        </w:r>
        <w:r w:rsidR="00DB0D21">
          <w:rPr>
            <w:noProof/>
            <w:webHidden/>
          </w:rPr>
          <w:tab/>
        </w:r>
        <w:r>
          <w:rPr>
            <w:noProof/>
            <w:webHidden/>
          </w:rPr>
          <w:fldChar w:fldCharType="begin"/>
        </w:r>
        <w:r w:rsidR="00DB0D21">
          <w:rPr>
            <w:noProof/>
            <w:webHidden/>
          </w:rPr>
          <w:instrText xml:space="preserve"> PAGEREF _Toc64641821 \h </w:instrText>
        </w:r>
        <w:r>
          <w:rPr>
            <w:noProof/>
            <w:webHidden/>
          </w:rPr>
        </w:r>
        <w:r>
          <w:rPr>
            <w:noProof/>
            <w:webHidden/>
          </w:rPr>
          <w:fldChar w:fldCharType="separate"/>
        </w:r>
        <w:r w:rsidR="001D06AA">
          <w:rPr>
            <w:noProof/>
            <w:webHidden/>
          </w:rPr>
          <w:t>55</w:t>
        </w:r>
        <w:r>
          <w:rPr>
            <w:noProof/>
            <w:webHidden/>
          </w:rPr>
          <w:fldChar w:fldCharType="end"/>
        </w:r>
      </w:hyperlink>
    </w:p>
    <w:p w:rsidR="00DB0D21" w:rsidRDefault="00B061D7">
      <w:pPr>
        <w:pStyle w:val="10"/>
        <w:rPr>
          <w:rFonts w:asciiTheme="minorHAnsi" w:eastAsiaTheme="minorEastAsia" w:hAnsiTheme="minorHAnsi"/>
          <w:noProof/>
          <w:color w:val="auto"/>
          <w:sz w:val="22"/>
          <w:lang w:val="en-US"/>
        </w:rPr>
      </w:pPr>
      <w:hyperlink w:anchor="_Toc64641822" w:history="1">
        <w:r w:rsidR="00DB0D21" w:rsidRPr="004D1D1B">
          <w:rPr>
            <w:rStyle w:val="-"/>
            <w:noProof/>
          </w:rPr>
          <w:t>Πίνακας 15 Αποτελέσματα συσχέτισης της παροχής οικονομικής βοήθειας του δείγματος με τις κλίμακες</w:t>
        </w:r>
        <w:r w:rsidR="00DB0D21">
          <w:rPr>
            <w:noProof/>
            <w:webHidden/>
          </w:rPr>
          <w:tab/>
        </w:r>
        <w:r>
          <w:rPr>
            <w:noProof/>
            <w:webHidden/>
          </w:rPr>
          <w:fldChar w:fldCharType="begin"/>
        </w:r>
        <w:r w:rsidR="00DB0D21">
          <w:rPr>
            <w:noProof/>
            <w:webHidden/>
          </w:rPr>
          <w:instrText xml:space="preserve"> PAGEREF _Toc64641822 \h </w:instrText>
        </w:r>
        <w:r>
          <w:rPr>
            <w:noProof/>
            <w:webHidden/>
          </w:rPr>
        </w:r>
        <w:r>
          <w:rPr>
            <w:noProof/>
            <w:webHidden/>
          </w:rPr>
          <w:fldChar w:fldCharType="separate"/>
        </w:r>
        <w:r w:rsidR="001D06AA">
          <w:rPr>
            <w:noProof/>
            <w:webHidden/>
          </w:rPr>
          <w:t>56</w:t>
        </w:r>
        <w:r>
          <w:rPr>
            <w:noProof/>
            <w:webHidden/>
          </w:rPr>
          <w:fldChar w:fldCharType="end"/>
        </w:r>
      </w:hyperlink>
    </w:p>
    <w:p w:rsidR="00DB0D21" w:rsidRDefault="00B061D7">
      <w:pPr>
        <w:pStyle w:val="10"/>
        <w:rPr>
          <w:rFonts w:asciiTheme="minorHAnsi" w:eastAsiaTheme="minorEastAsia" w:hAnsiTheme="minorHAnsi"/>
          <w:noProof/>
          <w:color w:val="auto"/>
          <w:sz w:val="22"/>
          <w:lang w:val="en-US"/>
        </w:rPr>
      </w:pPr>
      <w:hyperlink w:anchor="_Toc64641823" w:history="1">
        <w:r w:rsidR="00DB0D21" w:rsidRPr="004D1D1B">
          <w:rPr>
            <w:rStyle w:val="-"/>
            <w:noProof/>
          </w:rPr>
          <w:t>Πίνακας 16 Αποτελέσματα συσχέτισης της παροχής οικονομικής βοήθειας του δείγματος με τις κλίμακες</w:t>
        </w:r>
        <w:r w:rsidR="00DB0D21">
          <w:rPr>
            <w:noProof/>
            <w:webHidden/>
          </w:rPr>
          <w:tab/>
        </w:r>
        <w:r>
          <w:rPr>
            <w:noProof/>
            <w:webHidden/>
          </w:rPr>
          <w:fldChar w:fldCharType="begin"/>
        </w:r>
        <w:r w:rsidR="00DB0D21">
          <w:rPr>
            <w:noProof/>
            <w:webHidden/>
          </w:rPr>
          <w:instrText xml:space="preserve"> PAGEREF _Toc64641823 \h </w:instrText>
        </w:r>
        <w:r>
          <w:rPr>
            <w:noProof/>
            <w:webHidden/>
          </w:rPr>
        </w:r>
        <w:r>
          <w:rPr>
            <w:noProof/>
            <w:webHidden/>
          </w:rPr>
          <w:fldChar w:fldCharType="separate"/>
        </w:r>
        <w:r w:rsidR="001D06AA">
          <w:rPr>
            <w:noProof/>
            <w:webHidden/>
          </w:rPr>
          <w:t>56</w:t>
        </w:r>
        <w:r>
          <w:rPr>
            <w:noProof/>
            <w:webHidden/>
          </w:rPr>
          <w:fldChar w:fldCharType="end"/>
        </w:r>
      </w:hyperlink>
    </w:p>
    <w:p w:rsidR="00DB0D21" w:rsidRDefault="00B061D7">
      <w:pPr>
        <w:pStyle w:val="10"/>
        <w:rPr>
          <w:rFonts w:asciiTheme="minorHAnsi" w:eastAsiaTheme="minorEastAsia" w:hAnsiTheme="minorHAnsi"/>
          <w:noProof/>
          <w:color w:val="auto"/>
          <w:sz w:val="22"/>
          <w:lang w:val="en-US"/>
        </w:rPr>
      </w:pPr>
      <w:hyperlink w:anchor="_Toc64641824" w:history="1">
        <w:r w:rsidR="00DB0D21" w:rsidRPr="004D1D1B">
          <w:rPr>
            <w:rStyle w:val="-"/>
            <w:noProof/>
          </w:rPr>
          <w:t>Πίνακας 17 Αποτελέσματα συσχέτισης της ενοικίασης σπιτιού του δείγματος με τη κλίμακα SCL90</w:t>
        </w:r>
        <w:r w:rsidR="00DB0D21">
          <w:rPr>
            <w:noProof/>
            <w:webHidden/>
          </w:rPr>
          <w:tab/>
        </w:r>
        <w:r>
          <w:rPr>
            <w:noProof/>
            <w:webHidden/>
          </w:rPr>
          <w:fldChar w:fldCharType="begin"/>
        </w:r>
        <w:r w:rsidR="00DB0D21">
          <w:rPr>
            <w:noProof/>
            <w:webHidden/>
          </w:rPr>
          <w:instrText xml:space="preserve"> PAGEREF _Toc64641824 \h </w:instrText>
        </w:r>
        <w:r>
          <w:rPr>
            <w:noProof/>
            <w:webHidden/>
          </w:rPr>
        </w:r>
        <w:r>
          <w:rPr>
            <w:noProof/>
            <w:webHidden/>
          </w:rPr>
          <w:fldChar w:fldCharType="separate"/>
        </w:r>
        <w:r w:rsidR="001D06AA">
          <w:rPr>
            <w:noProof/>
            <w:webHidden/>
          </w:rPr>
          <w:t>58</w:t>
        </w:r>
        <w:r>
          <w:rPr>
            <w:noProof/>
            <w:webHidden/>
          </w:rPr>
          <w:fldChar w:fldCharType="end"/>
        </w:r>
      </w:hyperlink>
    </w:p>
    <w:p w:rsidR="00DB0D21" w:rsidRDefault="00B061D7">
      <w:pPr>
        <w:pStyle w:val="10"/>
        <w:rPr>
          <w:rFonts w:asciiTheme="minorHAnsi" w:eastAsiaTheme="minorEastAsia" w:hAnsiTheme="minorHAnsi"/>
          <w:noProof/>
          <w:color w:val="auto"/>
          <w:sz w:val="22"/>
          <w:lang w:val="en-US"/>
        </w:rPr>
      </w:pPr>
      <w:hyperlink w:anchor="_Toc64641825" w:history="1">
        <w:r w:rsidR="00DB0D21" w:rsidRPr="004D1D1B">
          <w:rPr>
            <w:rStyle w:val="-"/>
            <w:noProof/>
          </w:rPr>
          <w:t>Πίνακας 18 Αποτελέσματα συσχέτισης της ύπαρξης εξοχικού του δείγματος με τη κλίμακα SCL90</w:t>
        </w:r>
        <w:r w:rsidR="00DB0D21">
          <w:rPr>
            <w:noProof/>
            <w:webHidden/>
          </w:rPr>
          <w:tab/>
        </w:r>
        <w:r>
          <w:rPr>
            <w:noProof/>
            <w:webHidden/>
          </w:rPr>
          <w:fldChar w:fldCharType="begin"/>
        </w:r>
        <w:r w:rsidR="00DB0D21">
          <w:rPr>
            <w:noProof/>
            <w:webHidden/>
          </w:rPr>
          <w:instrText xml:space="preserve"> PAGEREF _Toc64641825 \h </w:instrText>
        </w:r>
        <w:r>
          <w:rPr>
            <w:noProof/>
            <w:webHidden/>
          </w:rPr>
        </w:r>
        <w:r>
          <w:rPr>
            <w:noProof/>
            <w:webHidden/>
          </w:rPr>
          <w:fldChar w:fldCharType="separate"/>
        </w:r>
        <w:r w:rsidR="001D06AA">
          <w:rPr>
            <w:noProof/>
            <w:webHidden/>
          </w:rPr>
          <w:t>58</w:t>
        </w:r>
        <w:r>
          <w:rPr>
            <w:noProof/>
            <w:webHidden/>
          </w:rPr>
          <w:fldChar w:fldCharType="end"/>
        </w:r>
      </w:hyperlink>
    </w:p>
    <w:p w:rsidR="00DB0D21" w:rsidRDefault="00B061D7">
      <w:pPr>
        <w:pStyle w:val="10"/>
        <w:rPr>
          <w:rFonts w:asciiTheme="minorHAnsi" w:eastAsiaTheme="minorEastAsia" w:hAnsiTheme="minorHAnsi"/>
          <w:noProof/>
          <w:color w:val="auto"/>
          <w:sz w:val="22"/>
          <w:lang w:val="en-US"/>
        </w:rPr>
      </w:pPr>
      <w:hyperlink w:anchor="_Toc64641826" w:history="1">
        <w:r w:rsidR="00DB0D21" w:rsidRPr="004D1D1B">
          <w:rPr>
            <w:rStyle w:val="-"/>
            <w:noProof/>
          </w:rPr>
          <w:t>Πίνακας 19 Αποτελέσματα συσχέτισης της ύπαρξης δανείων του δείγματος με τη κλίμακα EPQ</w:t>
        </w:r>
        <w:r w:rsidR="00DB0D21">
          <w:rPr>
            <w:noProof/>
            <w:webHidden/>
          </w:rPr>
          <w:tab/>
        </w:r>
        <w:r>
          <w:rPr>
            <w:noProof/>
            <w:webHidden/>
          </w:rPr>
          <w:fldChar w:fldCharType="begin"/>
        </w:r>
        <w:r w:rsidR="00DB0D21">
          <w:rPr>
            <w:noProof/>
            <w:webHidden/>
          </w:rPr>
          <w:instrText xml:space="preserve"> PAGEREF _Toc64641826 \h </w:instrText>
        </w:r>
        <w:r>
          <w:rPr>
            <w:noProof/>
            <w:webHidden/>
          </w:rPr>
        </w:r>
        <w:r>
          <w:rPr>
            <w:noProof/>
            <w:webHidden/>
          </w:rPr>
          <w:fldChar w:fldCharType="separate"/>
        </w:r>
        <w:r w:rsidR="001D06AA">
          <w:rPr>
            <w:noProof/>
            <w:webHidden/>
          </w:rPr>
          <w:t>58</w:t>
        </w:r>
        <w:r>
          <w:rPr>
            <w:noProof/>
            <w:webHidden/>
          </w:rPr>
          <w:fldChar w:fldCharType="end"/>
        </w:r>
      </w:hyperlink>
    </w:p>
    <w:p w:rsidR="00DB0D21" w:rsidRDefault="00B061D7">
      <w:pPr>
        <w:pStyle w:val="10"/>
        <w:rPr>
          <w:rFonts w:asciiTheme="minorHAnsi" w:eastAsiaTheme="minorEastAsia" w:hAnsiTheme="minorHAnsi"/>
          <w:noProof/>
          <w:color w:val="auto"/>
          <w:sz w:val="22"/>
          <w:lang w:val="en-US"/>
        </w:rPr>
      </w:pPr>
      <w:hyperlink w:anchor="_Toc64641827" w:history="1">
        <w:r w:rsidR="00DB0D21" w:rsidRPr="004D1D1B">
          <w:rPr>
            <w:rStyle w:val="-"/>
            <w:noProof/>
          </w:rPr>
          <w:t>Πίνακας 20 Αποτελέσματα συσχέτισης της ύπαρξης αδελφών του δείγματος με τη κλίμακα BMQ - SCL90</w:t>
        </w:r>
        <w:r w:rsidR="00DB0D21">
          <w:rPr>
            <w:noProof/>
            <w:webHidden/>
          </w:rPr>
          <w:tab/>
        </w:r>
        <w:r>
          <w:rPr>
            <w:noProof/>
            <w:webHidden/>
          </w:rPr>
          <w:fldChar w:fldCharType="begin"/>
        </w:r>
        <w:r w:rsidR="00DB0D21">
          <w:rPr>
            <w:noProof/>
            <w:webHidden/>
          </w:rPr>
          <w:instrText xml:space="preserve"> PAGEREF _Toc64641827 \h </w:instrText>
        </w:r>
        <w:r>
          <w:rPr>
            <w:noProof/>
            <w:webHidden/>
          </w:rPr>
        </w:r>
        <w:r>
          <w:rPr>
            <w:noProof/>
            <w:webHidden/>
          </w:rPr>
          <w:fldChar w:fldCharType="separate"/>
        </w:r>
        <w:r w:rsidR="001D06AA">
          <w:rPr>
            <w:noProof/>
            <w:webHidden/>
          </w:rPr>
          <w:t>59</w:t>
        </w:r>
        <w:r>
          <w:rPr>
            <w:noProof/>
            <w:webHidden/>
          </w:rPr>
          <w:fldChar w:fldCharType="end"/>
        </w:r>
      </w:hyperlink>
    </w:p>
    <w:p w:rsidR="00DB0D21" w:rsidRDefault="00B061D7">
      <w:pPr>
        <w:pStyle w:val="10"/>
        <w:rPr>
          <w:rFonts w:asciiTheme="minorHAnsi" w:eastAsiaTheme="minorEastAsia" w:hAnsiTheme="minorHAnsi"/>
          <w:noProof/>
          <w:color w:val="auto"/>
          <w:sz w:val="22"/>
          <w:lang w:val="en-US"/>
        </w:rPr>
      </w:pPr>
      <w:hyperlink w:anchor="_Toc64641828" w:history="1">
        <w:r w:rsidR="00DB0D21" w:rsidRPr="004D1D1B">
          <w:rPr>
            <w:rStyle w:val="-"/>
            <w:noProof/>
          </w:rPr>
          <w:t>Πίνακας 21 Αποτελέσματα συσχέτισης της ύπαρξης αδελφής του δείγματος με τη κλίμακα EPQ - SCL90</w:t>
        </w:r>
        <w:r w:rsidR="00DB0D21">
          <w:rPr>
            <w:noProof/>
            <w:webHidden/>
          </w:rPr>
          <w:tab/>
        </w:r>
        <w:r>
          <w:rPr>
            <w:noProof/>
            <w:webHidden/>
          </w:rPr>
          <w:fldChar w:fldCharType="begin"/>
        </w:r>
        <w:r w:rsidR="00DB0D21">
          <w:rPr>
            <w:noProof/>
            <w:webHidden/>
          </w:rPr>
          <w:instrText xml:space="preserve"> PAGEREF _Toc64641828 \h </w:instrText>
        </w:r>
        <w:r>
          <w:rPr>
            <w:noProof/>
            <w:webHidden/>
          </w:rPr>
        </w:r>
        <w:r>
          <w:rPr>
            <w:noProof/>
            <w:webHidden/>
          </w:rPr>
          <w:fldChar w:fldCharType="separate"/>
        </w:r>
        <w:r w:rsidR="001D06AA">
          <w:rPr>
            <w:noProof/>
            <w:webHidden/>
          </w:rPr>
          <w:t>59</w:t>
        </w:r>
        <w:r>
          <w:rPr>
            <w:noProof/>
            <w:webHidden/>
          </w:rPr>
          <w:fldChar w:fldCharType="end"/>
        </w:r>
      </w:hyperlink>
    </w:p>
    <w:p w:rsidR="00DB0D21" w:rsidRDefault="00B061D7">
      <w:pPr>
        <w:pStyle w:val="10"/>
        <w:rPr>
          <w:rFonts w:asciiTheme="minorHAnsi" w:eastAsiaTheme="minorEastAsia" w:hAnsiTheme="minorHAnsi"/>
          <w:noProof/>
          <w:color w:val="auto"/>
          <w:sz w:val="22"/>
          <w:lang w:val="en-US"/>
        </w:rPr>
      </w:pPr>
      <w:hyperlink w:anchor="_Toc64641829" w:history="1">
        <w:r w:rsidR="00DB0D21" w:rsidRPr="004D1D1B">
          <w:rPr>
            <w:rStyle w:val="-"/>
            <w:noProof/>
          </w:rPr>
          <w:t>Πίνακας 22 Αποτελέσματα συσχέτισης της ύπαρξης καλών σχέσεων με τα αδέρφια του δείγματος με τη κλίμακα EPQ - SCL90</w:t>
        </w:r>
        <w:r w:rsidR="00DB0D21">
          <w:rPr>
            <w:noProof/>
            <w:webHidden/>
          </w:rPr>
          <w:tab/>
        </w:r>
        <w:r>
          <w:rPr>
            <w:noProof/>
            <w:webHidden/>
          </w:rPr>
          <w:fldChar w:fldCharType="begin"/>
        </w:r>
        <w:r w:rsidR="00DB0D21">
          <w:rPr>
            <w:noProof/>
            <w:webHidden/>
          </w:rPr>
          <w:instrText xml:space="preserve"> PAGEREF _Toc64641829 \h </w:instrText>
        </w:r>
        <w:r>
          <w:rPr>
            <w:noProof/>
            <w:webHidden/>
          </w:rPr>
        </w:r>
        <w:r>
          <w:rPr>
            <w:noProof/>
            <w:webHidden/>
          </w:rPr>
          <w:fldChar w:fldCharType="separate"/>
        </w:r>
        <w:r w:rsidR="001D06AA">
          <w:rPr>
            <w:noProof/>
            <w:webHidden/>
          </w:rPr>
          <w:t>59</w:t>
        </w:r>
        <w:r>
          <w:rPr>
            <w:noProof/>
            <w:webHidden/>
          </w:rPr>
          <w:fldChar w:fldCharType="end"/>
        </w:r>
      </w:hyperlink>
    </w:p>
    <w:p w:rsidR="00DB0D21" w:rsidRDefault="00B061D7">
      <w:pPr>
        <w:pStyle w:val="10"/>
        <w:rPr>
          <w:rFonts w:asciiTheme="minorHAnsi" w:eastAsiaTheme="minorEastAsia" w:hAnsiTheme="minorHAnsi"/>
          <w:noProof/>
          <w:color w:val="auto"/>
          <w:sz w:val="22"/>
          <w:lang w:val="en-US"/>
        </w:rPr>
      </w:pPr>
      <w:hyperlink w:anchor="_Toc64641830" w:history="1">
        <w:r w:rsidR="00DB0D21" w:rsidRPr="004D1D1B">
          <w:rPr>
            <w:rStyle w:val="-"/>
            <w:noProof/>
          </w:rPr>
          <w:t>Πίνακας 23 Αποτελέσματα συσχέτισης της ύπαρξης καλών σχέσεων με τους γονείς του δείγματος και τις επιμέρους κλίμακες</w:t>
        </w:r>
        <w:r w:rsidR="00DB0D21">
          <w:rPr>
            <w:noProof/>
            <w:webHidden/>
          </w:rPr>
          <w:tab/>
        </w:r>
        <w:r>
          <w:rPr>
            <w:noProof/>
            <w:webHidden/>
          </w:rPr>
          <w:fldChar w:fldCharType="begin"/>
        </w:r>
        <w:r w:rsidR="00DB0D21">
          <w:rPr>
            <w:noProof/>
            <w:webHidden/>
          </w:rPr>
          <w:instrText xml:space="preserve"> PAGEREF _Toc64641830 \h </w:instrText>
        </w:r>
        <w:r>
          <w:rPr>
            <w:noProof/>
            <w:webHidden/>
          </w:rPr>
        </w:r>
        <w:r>
          <w:rPr>
            <w:noProof/>
            <w:webHidden/>
          </w:rPr>
          <w:fldChar w:fldCharType="separate"/>
        </w:r>
        <w:r w:rsidR="001D06AA">
          <w:rPr>
            <w:noProof/>
            <w:webHidden/>
          </w:rPr>
          <w:t>60</w:t>
        </w:r>
        <w:r>
          <w:rPr>
            <w:noProof/>
            <w:webHidden/>
          </w:rPr>
          <w:fldChar w:fldCharType="end"/>
        </w:r>
      </w:hyperlink>
    </w:p>
    <w:p w:rsidR="00DB0D21" w:rsidRDefault="00B061D7">
      <w:pPr>
        <w:pStyle w:val="10"/>
        <w:rPr>
          <w:rFonts w:asciiTheme="minorHAnsi" w:eastAsiaTheme="minorEastAsia" w:hAnsiTheme="minorHAnsi"/>
          <w:noProof/>
          <w:color w:val="auto"/>
          <w:sz w:val="22"/>
          <w:lang w:val="en-US"/>
        </w:rPr>
      </w:pPr>
      <w:hyperlink w:anchor="_Toc64641831" w:history="1">
        <w:r w:rsidR="00DB0D21" w:rsidRPr="004D1D1B">
          <w:rPr>
            <w:rStyle w:val="-"/>
            <w:noProof/>
          </w:rPr>
          <w:t>Πίνακας 24 Αποτελέσματα συσχέτισης του περπατήματος με τις επιμέρους κλίμακες</w:t>
        </w:r>
        <w:r w:rsidR="00DB0D21">
          <w:rPr>
            <w:noProof/>
            <w:webHidden/>
          </w:rPr>
          <w:tab/>
        </w:r>
        <w:r>
          <w:rPr>
            <w:noProof/>
            <w:webHidden/>
          </w:rPr>
          <w:fldChar w:fldCharType="begin"/>
        </w:r>
        <w:r w:rsidR="00DB0D21">
          <w:rPr>
            <w:noProof/>
            <w:webHidden/>
          </w:rPr>
          <w:instrText xml:space="preserve"> PAGEREF _Toc64641831 \h </w:instrText>
        </w:r>
        <w:r>
          <w:rPr>
            <w:noProof/>
            <w:webHidden/>
          </w:rPr>
        </w:r>
        <w:r>
          <w:rPr>
            <w:noProof/>
            <w:webHidden/>
          </w:rPr>
          <w:fldChar w:fldCharType="separate"/>
        </w:r>
        <w:r w:rsidR="001D06AA">
          <w:rPr>
            <w:noProof/>
            <w:webHidden/>
          </w:rPr>
          <w:t>61</w:t>
        </w:r>
        <w:r>
          <w:rPr>
            <w:noProof/>
            <w:webHidden/>
          </w:rPr>
          <w:fldChar w:fldCharType="end"/>
        </w:r>
      </w:hyperlink>
    </w:p>
    <w:p w:rsidR="00DB0D21" w:rsidRDefault="00B061D7">
      <w:pPr>
        <w:pStyle w:val="10"/>
        <w:rPr>
          <w:rFonts w:asciiTheme="minorHAnsi" w:eastAsiaTheme="minorEastAsia" w:hAnsiTheme="minorHAnsi"/>
          <w:noProof/>
          <w:color w:val="auto"/>
          <w:sz w:val="22"/>
          <w:lang w:val="en-US"/>
        </w:rPr>
      </w:pPr>
      <w:hyperlink w:anchor="_Toc64641832" w:history="1">
        <w:r w:rsidR="00DB0D21" w:rsidRPr="004D1D1B">
          <w:rPr>
            <w:rStyle w:val="-"/>
            <w:noProof/>
          </w:rPr>
          <w:t>Πίνακας 25 Αποτελέσματα συσχέτισης του περπατήματος με τις επιμέρους κλίμακες της έρευνας</w:t>
        </w:r>
        <w:r w:rsidR="00DB0D21">
          <w:rPr>
            <w:noProof/>
            <w:webHidden/>
          </w:rPr>
          <w:tab/>
        </w:r>
        <w:r>
          <w:rPr>
            <w:noProof/>
            <w:webHidden/>
          </w:rPr>
          <w:fldChar w:fldCharType="begin"/>
        </w:r>
        <w:r w:rsidR="00DB0D21">
          <w:rPr>
            <w:noProof/>
            <w:webHidden/>
          </w:rPr>
          <w:instrText xml:space="preserve"> PAGEREF _Toc64641832 \h </w:instrText>
        </w:r>
        <w:r>
          <w:rPr>
            <w:noProof/>
            <w:webHidden/>
          </w:rPr>
        </w:r>
        <w:r>
          <w:rPr>
            <w:noProof/>
            <w:webHidden/>
          </w:rPr>
          <w:fldChar w:fldCharType="separate"/>
        </w:r>
        <w:r w:rsidR="001D06AA">
          <w:rPr>
            <w:noProof/>
            <w:webHidden/>
          </w:rPr>
          <w:t>61</w:t>
        </w:r>
        <w:r>
          <w:rPr>
            <w:noProof/>
            <w:webHidden/>
          </w:rPr>
          <w:fldChar w:fldCharType="end"/>
        </w:r>
      </w:hyperlink>
    </w:p>
    <w:p w:rsidR="00DB0D21" w:rsidRDefault="00B061D7">
      <w:pPr>
        <w:pStyle w:val="10"/>
        <w:rPr>
          <w:rFonts w:asciiTheme="minorHAnsi" w:eastAsiaTheme="minorEastAsia" w:hAnsiTheme="minorHAnsi"/>
          <w:noProof/>
          <w:color w:val="auto"/>
          <w:sz w:val="22"/>
          <w:lang w:val="en-US"/>
        </w:rPr>
      </w:pPr>
      <w:hyperlink w:anchor="_Toc64641833" w:history="1">
        <w:r w:rsidR="00DB0D21" w:rsidRPr="004D1D1B">
          <w:rPr>
            <w:rStyle w:val="-"/>
            <w:noProof/>
          </w:rPr>
          <w:t>Πίνακας 26 Αποτελέσματα συσχέτισης της οικογενειακής κατάστασης του δείγματος με τις επιμέρους κλίμακες της έρευνας</w:t>
        </w:r>
        <w:r w:rsidR="00DB0D21">
          <w:rPr>
            <w:noProof/>
            <w:webHidden/>
          </w:rPr>
          <w:tab/>
        </w:r>
        <w:r>
          <w:rPr>
            <w:noProof/>
            <w:webHidden/>
          </w:rPr>
          <w:fldChar w:fldCharType="begin"/>
        </w:r>
        <w:r w:rsidR="00DB0D21">
          <w:rPr>
            <w:noProof/>
            <w:webHidden/>
          </w:rPr>
          <w:instrText xml:space="preserve"> PAGEREF _Toc64641833 \h </w:instrText>
        </w:r>
        <w:r>
          <w:rPr>
            <w:noProof/>
            <w:webHidden/>
          </w:rPr>
        </w:r>
        <w:r>
          <w:rPr>
            <w:noProof/>
            <w:webHidden/>
          </w:rPr>
          <w:fldChar w:fldCharType="separate"/>
        </w:r>
        <w:r w:rsidR="001D06AA">
          <w:rPr>
            <w:noProof/>
            <w:webHidden/>
          </w:rPr>
          <w:t>62</w:t>
        </w:r>
        <w:r>
          <w:rPr>
            <w:noProof/>
            <w:webHidden/>
          </w:rPr>
          <w:fldChar w:fldCharType="end"/>
        </w:r>
      </w:hyperlink>
    </w:p>
    <w:p w:rsidR="00DB0D21" w:rsidRDefault="00B061D7">
      <w:pPr>
        <w:pStyle w:val="10"/>
        <w:rPr>
          <w:rFonts w:asciiTheme="minorHAnsi" w:eastAsiaTheme="minorEastAsia" w:hAnsiTheme="minorHAnsi"/>
          <w:noProof/>
          <w:color w:val="auto"/>
          <w:sz w:val="22"/>
          <w:lang w:val="en-US"/>
        </w:rPr>
      </w:pPr>
      <w:hyperlink w:anchor="_Toc64641834" w:history="1">
        <w:r w:rsidR="00DB0D21" w:rsidRPr="004D1D1B">
          <w:rPr>
            <w:rStyle w:val="-"/>
            <w:noProof/>
          </w:rPr>
          <w:t>Πίνακας 27 Αποτελέσματα συσχέτισης του εκπαιδευτικού επιπέδου και της ύπαρξης παιδιών του δείγματος με τις επιμέρους κλίμακες της έρευνας</w:t>
        </w:r>
        <w:r w:rsidR="00DB0D21">
          <w:rPr>
            <w:noProof/>
            <w:webHidden/>
          </w:rPr>
          <w:tab/>
        </w:r>
        <w:r>
          <w:rPr>
            <w:noProof/>
            <w:webHidden/>
          </w:rPr>
          <w:fldChar w:fldCharType="begin"/>
        </w:r>
        <w:r w:rsidR="00DB0D21">
          <w:rPr>
            <w:noProof/>
            <w:webHidden/>
          </w:rPr>
          <w:instrText xml:space="preserve"> PAGEREF _Toc64641834 \h </w:instrText>
        </w:r>
        <w:r>
          <w:rPr>
            <w:noProof/>
            <w:webHidden/>
          </w:rPr>
        </w:r>
        <w:r>
          <w:rPr>
            <w:noProof/>
            <w:webHidden/>
          </w:rPr>
          <w:fldChar w:fldCharType="separate"/>
        </w:r>
        <w:r w:rsidR="001D06AA">
          <w:rPr>
            <w:noProof/>
            <w:webHidden/>
          </w:rPr>
          <w:t>63</w:t>
        </w:r>
        <w:r>
          <w:rPr>
            <w:noProof/>
            <w:webHidden/>
          </w:rPr>
          <w:fldChar w:fldCharType="end"/>
        </w:r>
      </w:hyperlink>
    </w:p>
    <w:p w:rsidR="00DB0D21" w:rsidRDefault="00B061D7">
      <w:pPr>
        <w:pStyle w:val="10"/>
        <w:rPr>
          <w:rFonts w:asciiTheme="minorHAnsi" w:eastAsiaTheme="minorEastAsia" w:hAnsiTheme="minorHAnsi"/>
          <w:noProof/>
          <w:color w:val="auto"/>
          <w:sz w:val="22"/>
          <w:lang w:val="en-US"/>
        </w:rPr>
      </w:pPr>
      <w:hyperlink w:anchor="_Toc64641835" w:history="1">
        <w:r w:rsidR="00DB0D21" w:rsidRPr="004D1D1B">
          <w:rPr>
            <w:rStyle w:val="-"/>
            <w:noProof/>
          </w:rPr>
          <w:t>Πίνακας 28 Αποτελέσματα συσχέτισης της επίδρασης του COVID 19 με τις κλίμακες SCL90 της έρευνας</w:t>
        </w:r>
        <w:r w:rsidR="00DB0D21">
          <w:rPr>
            <w:noProof/>
            <w:webHidden/>
          </w:rPr>
          <w:tab/>
        </w:r>
        <w:r>
          <w:rPr>
            <w:noProof/>
            <w:webHidden/>
          </w:rPr>
          <w:fldChar w:fldCharType="begin"/>
        </w:r>
        <w:r w:rsidR="00DB0D21">
          <w:rPr>
            <w:noProof/>
            <w:webHidden/>
          </w:rPr>
          <w:instrText xml:space="preserve"> PAGEREF _Toc64641835 \h </w:instrText>
        </w:r>
        <w:r>
          <w:rPr>
            <w:noProof/>
            <w:webHidden/>
          </w:rPr>
        </w:r>
        <w:r>
          <w:rPr>
            <w:noProof/>
            <w:webHidden/>
          </w:rPr>
          <w:fldChar w:fldCharType="separate"/>
        </w:r>
        <w:r w:rsidR="001D06AA">
          <w:rPr>
            <w:noProof/>
            <w:webHidden/>
          </w:rPr>
          <w:t>65</w:t>
        </w:r>
        <w:r>
          <w:rPr>
            <w:noProof/>
            <w:webHidden/>
          </w:rPr>
          <w:fldChar w:fldCharType="end"/>
        </w:r>
      </w:hyperlink>
    </w:p>
    <w:p w:rsidR="00DB0D21" w:rsidRDefault="00B061D7">
      <w:pPr>
        <w:pStyle w:val="10"/>
        <w:rPr>
          <w:rFonts w:asciiTheme="minorHAnsi" w:eastAsiaTheme="minorEastAsia" w:hAnsiTheme="minorHAnsi"/>
          <w:noProof/>
          <w:color w:val="auto"/>
          <w:sz w:val="22"/>
          <w:lang w:val="en-US"/>
        </w:rPr>
      </w:pPr>
      <w:hyperlink w:anchor="_Toc64641836" w:history="1">
        <w:r w:rsidR="00DB0D21" w:rsidRPr="004D1D1B">
          <w:rPr>
            <w:rStyle w:val="-"/>
            <w:noProof/>
          </w:rPr>
          <w:t>Πίνακας 29 Αποτελέσματα συσχέτισης της επίδρασης του COVID 19 με την κλίμακα EPQ της έρευνας</w:t>
        </w:r>
        <w:r w:rsidR="00DB0D21">
          <w:rPr>
            <w:noProof/>
            <w:webHidden/>
          </w:rPr>
          <w:tab/>
        </w:r>
        <w:r>
          <w:rPr>
            <w:noProof/>
            <w:webHidden/>
          </w:rPr>
          <w:fldChar w:fldCharType="begin"/>
        </w:r>
        <w:r w:rsidR="00DB0D21">
          <w:rPr>
            <w:noProof/>
            <w:webHidden/>
          </w:rPr>
          <w:instrText xml:space="preserve"> PAGEREF _Toc64641836 \h </w:instrText>
        </w:r>
        <w:r>
          <w:rPr>
            <w:noProof/>
            <w:webHidden/>
          </w:rPr>
        </w:r>
        <w:r>
          <w:rPr>
            <w:noProof/>
            <w:webHidden/>
          </w:rPr>
          <w:fldChar w:fldCharType="separate"/>
        </w:r>
        <w:r w:rsidR="001D06AA">
          <w:rPr>
            <w:noProof/>
            <w:webHidden/>
          </w:rPr>
          <w:t>66</w:t>
        </w:r>
        <w:r>
          <w:rPr>
            <w:noProof/>
            <w:webHidden/>
          </w:rPr>
          <w:fldChar w:fldCharType="end"/>
        </w:r>
      </w:hyperlink>
    </w:p>
    <w:p w:rsidR="00DB0D21" w:rsidRDefault="00B061D7">
      <w:pPr>
        <w:pStyle w:val="10"/>
        <w:rPr>
          <w:rFonts w:asciiTheme="minorHAnsi" w:eastAsiaTheme="minorEastAsia" w:hAnsiTheme="minorHAnsi"/>
          <w:noProof/>
          <w:color w:val="auto"/>
          <w:sz w:val="22"/>
          <w:lang w:val="en-US"/>
        </w:rPr>
      </w:pPr>
      <w:hyperlink w:anchor="_Toc64641837" w:history="1">
        <w:r w:rsidR="00DB0D21" w:rsidRPr="004D1D1B">
          <w:rPr>
            <w:rStyle w:val="-"/>
            <w:noProof/>
          </w:rPr>
          <w:t>Πίνακας 30 Αποτελέσματα συσχέτισης των επιμέρους κλιμάκων της έρευνας</w:t>
        </w:r>
        <w:r w:rsidR="00DB0D21">
          <w:rPr>
            <w:noProof/>
            <w:webHidden/>
          </w:rPr>
          <w:tab/>
        </w:r>
        <w:r>
          <w:rPr>
            <w:noProof/>
            <w:webHidden/>
          </w:rPr>
          <w:fldChar w:fldCharType="begin"/>
        </w:r>
        <w:r w:rsidR="00DB0D21">
          <w:rPr>
            <w:noProof/>
            <w:webHidden/>
          </w:rPr>
          <w:instrText xml:space="preserve"> PAGEREF _Toc64641837 \h </w:instrText>
        </w:r>
        <w:r>
          <w:rPr>
            <w:noProof/>
            <w:webHidden/>
          </w:rPr>
        </w:r>
        <w:r>
          <w:rPr>
            <w:noProof/>
            <w:webHidden/>
          </w:rPr>
          <w:fldChar w:fldCharType="separate"/>
        </w:r>
        <w:r w:rsidR="001D06AA">
          <w:rPr>
            <w:noProof/>
            <w:webHidden/>
          </w:rPr>
          <w:t>66</w:t>
        </w:r>
        <w:r>
          <w:rPr>
            <w:noProof/>
            <w:webHidden/>
          </w:rPr>
          <w:fldChar w:fldCharType="end"/>
        </w:r>
      </w:hyperlink>
    </w:p>
    <w:p w:rsidR="00DB0D21" w:rsidRDefault="00B061D7">
      <w:pPr>
        <w:pStyle w:val="10"/>
        <w:rPr>
          <w:rFonts w:asciiTheme="minorHAnsi" w:eastAsiaTheme="minorEastAsia" w:hAnsiTheme="minorHAnsi"/>
          <w:noProof/>
          <w:color w:val="auto"/>
          <w:sz w:val="22"/>
          <w:lang w:val="en-US"/>
        </w:rPr>
      </w:pPr>
      <w:hyperlink w:anchor="_Toc64641838" w:history="1">
        <w:r w:rsidR="00DB0D21" w:rsidRPr="004D1D1B">
          <w:rPr>
            <w:rStyle w:val="-"/>
            <w:noProof/>
          </w:rPr>
          <w:t>Πίνακας 31 Αποτελέσματα συσχέτισης των επιμέρους κλιμάκων της έρευνας</w:t>
        </w:r>
        <w:r w:rsidR="00DB0D21">
          <w:rPr>
            <w:noProof/>
            <w:webHidden/>
          </w:rPr>
          <w:tab/>
        </w:r>
        <w:r>
          <w:rPr>
            <w:noProof/>
            <w:webHidden/>
          </w:rPr>
          <w:fldChar w:fldCharType="begin"/>
        </w:r>
        <w:r w:rsidR="00DB0D21">
          <w:rPr>
            <w:noProof/>
            <w:webHidden/>
          </w:rPr>
          <w:instrText xml:space="preserve"> PAGEREF _Toc64641838 \h </w:instrText>
        </w:r>
        <w:r>
          <w:rPr>
            <w:noProof/>
            <w:webHidden/>
          </w:rPr>
        </w:r>
        <w:r>
          <w:rPr>
            <w:noProof/>
            <w:webHidden/>
          </w:rPr>
          <w:fldChar w:fldCharType="separate"/>
        </w:r>
        <w:r w:rsidR="001D06AA">
          <w:rPr>
            <w:noProof/>
            <w:webHidden/>
          </w:rPr>
          <w:t>67</w:t>
        </w:r>
        <w:r>
          <w:rPr>
            <w:noProof/>
            <w:webHidden/>
          </w:rPr>
          <w:fldChar w:fldCharType="end"/>
        </w:r>
      </w:hyperlink>
    </w:p>
    <w:p w:rsidR="001B3514" w:rsidRPr="00DB0D21" w:rsidRDefault="00B061D7">
      <w:pPr>
        <w:rPr>
          <w:lang w:val="en-US" w:eastAsia="zh-CN" w:bidi="hi-IN"/>
        </w:rPr>
      </w:pPr>
      <w:r>
        <w:fldChar w:fldCharType="end"/>
      </w:r>
    </w:p>
    <w:p w:rsidR="001B3514" w:rsidRDefault="00782E3E">
      <w:pPr>
        <w:pStyle w:val="1"/>
        <w:rPr>
          <w:lang w:eastAsia="zh-CN" w:bidi="hi-IN"/>
        </w:rPr>
      </w:pPr>
      <w:bookmarkStart w:id="5" w:name="_Toc64641746"/>
      <w:r>
        <w:rPr>
          <w:lang w:eastAsia="zh-CN" w:bidi="hi-IN"/>
        </w:rPr>
        <w:lastRenderedPageBreak/>
        <w:t>Εισαγωγή</w:t>
      </w:r>
      <w:bookmarkEnd w:id="5"/>
    </w:p>
    <w:p w:rsidR="001B3514" w:rsidRDefault="00782E3E">
      <w:pPr>
        <w:suppressAutoHyphens/>
        <w:spacing w:after="140"/>
        <w:rPr>
          <w:rFonts w:eastAsia="Arial Unicode MS" w:cs="Arial Unicode MS"/>
          <w:kern w:val="2"/>
          <w:szCs w:val="24"/>
          <w:lang w:eastAsia="zh-CN" w:bidi="hi-IN"/>
        </w:rPr>
      </w:pPr>
      <w:r>
        <w:rPr>
          <w:rFonts w:eastAsia="Arial Unicode MS" w:cs="Arial Unicode MS"/>
          <w:kern w:val="2"/>
          <w:szCs w:val="24"/>
          <w:lang w:eastAsia="zh-CN" w:bidi="hi-IN"/>
        </w:rPr>
        <w:t>Η Αρτηριακή Υπέρταση αποτελεί μια πολύ διαδεδομένη ασθένεια, καθώς πλήττει 80 εκατομμύρια στις ΗΠΑ και 1 δις άτομα παγκοσμίως (ΑΗΑ, 2017). Συγκαταλέγεται στα χρόνια νοσήματα του καρδιαγγειακού συστήματος, με διάρκεια μεγαλύτερη των τριών μηνών, ύπαρξη περιόδων λανθάνουσας κατάστασης αλλά παρατεταμένης κλινικής πορείας και εμφάνιση σταδιακών αλλαγών, που απαιτούν μακροχρόνια διαχείριση (CCDPC, 2006).</w:t>
      </w:r>
    </w:p>
    <w:p w:rsidR="001B3514" w:rsidRDefault="00782E3E">
      <w:pPr>
        <w:suppressAutoHyphens/>
        <w:spacing w:after="140"/>
        <w:rPr>
          <w:rFonts w:eastAsia="Arial Unicode MS" w:cs="Liberation Serif"/>
          <w:color w:val="000000"/>
          <w:kern w:val="2"/>
          <w:szCs w:val="24"/>
          <w:lang w:eastAsia="zh-CN" w:bidi="hi-IN"/>
        </w:rPr>
      </w:pPr>
      <w:r>
        <w:rPr>
          <w:rFonts w:eastAsia="Arial Unicode MS" w:cs="Arial Unicode MS"/>
          <w:kern w:val="2"/>
          <w:szCs w:val="24"/>
          <w:lang w:eastAsia="zh-CN" w:bidi="hi-IN"/>
        </w:rPr>
        <w:t>Η αυξημένη συχνότητα αλλά και η μακροχρόνια εξέλιξη της υπέρτασης έχει συνδυαστεί με την παρουσία διαφόρων ψυχολογικών και συμπεριφορικών παραγόντων στους ασθενείς. Σ</w:t>
      </w:r>
      <w:r>
        <w:rPr>
          <w:rFonts w:eastAsia="Arial Unicode MS" w:cs="Liberation Serif"/>
          <w:color w:val="000000"/>
          <w:kern w:val="2"/>
          <w:szCs w:val="24"/>
          <w:lang w:eastAsia="zh-CN" w:bidi="hi-IN"/>
        </w:rPr>
        <w:t>υναισθηματικοί παράγοντες</w:t>
      </w:r>
      <w:r w:rsidR="00F7158D">
        <w:rPr>
          <w:rFonts w:eastAsia="Arial Unicode MS" w:cs="Liberation Serif"/>
          <w:color w:val="000000"/>
          <w:kern w:val="2"/>
          <w:szCs w:val="24"/>
          <w:lang w:eastAsia="zh-CN" w:bidi="hi-IN"/>
        </w:rPr>
        <w:t>,</w:t>
      </w:r>
      <w:r>
        <w:rPr>
          <w:rFonts w:eastAsia="Arial Unicode MS" w:cs="Liberation Serif"/>
          <w:color w:val="000000"/>
          <w:kern w:val="2"/>
          <w:szCs w:val="24"/>
          <w:lang w:eastAsia="zh-CN" w:bidi="hi-IN"/>
        </w:rPr>
        <w:t xml:space="preserve">που σχετίζονται με διαταραχές συναισθήματος και εκδηλώνονται με τη μορφή κατάθλιψης, θυμού, εχθρότητας και άγχους προάγουν την αγγειοσύσπαση, ενώ καταστάσεις χρόνιου στρες εξαιτίας της απουσίας κοινωνικής στήριξης, του χαμηλού κοινωνικού και οικονομικού επιπέδου αλλά και της πίεσης που ασκείται σε προσωπικό και επαγγελματικό επίπεδο φαίνεται πως είναι παράγοντες που οδηγούν σε εμφάνιση υπέρτασης. Αντιθέτως, θετικά συναισθήματα, όπως το αίσθημα ικανοποίησης από τη ζωή, η αισιοδοξία, η ύπαρξη σκοπού ζωής και η εθελοντική προσφορά, η πνευματικότητα και η θρησκευτικότητα καθώς και η παρουσία δικτύου κοινωνικής και οικογενειακής υποστήριξης φαίνεται να έχουν θετικό προγνωστικό ρόλο στην καρδιαγγειακή υγεία, τόσο κατά την έναρξη όσο και κατά την εξέλιξη της νόσου της υπέρτασης (Park, Peterson, Szvarca, Molen, Kim, Collon, 2016). </w:t>
      </w:r>
    </w:p>
    <w:p w:rsidR="001B3514" w:rsidRDefault="00782E3E">
      <w:pPr>
        <w:suppressAutoHyphens/>
        <w:spacing w:after="140"/>
      </w:pPr>
      <w:r>
        <w:rPr>
          <w:rFonts w:eastAsia="Arial Unicode MS" w:cs="Liberation Serif"/>
          <w:color w:val="000000"/>
          <w:kern w:val="2"/>
          <w:szCs w:val="24"/>
          <w:lang w:eastAsia="zh-CN" w:bidi="hi-IN"/>
        </w:rPr>
        <w:t xml:space="preserve">Η διαχείριση της υπέρτασης συνεπάγεται την αντιμετώπιση από τον ασθενή νέων προκλήσεων που  στοχεύουν στη εξασφάλιση ενός φυσιολογικού ρυθμού και ποιότητας ζωής και στην τήρηση των ιατρονοσηλευτικών οδηγιών. Η κατανόηση της εξέλιξης της νόσου και της προτεινόμενης θεραπευτικής αγωγής, η διαχείριση των συναισθημάτων και των ανησυχιών και η ύπαρξη θετικών σχέσεων φαίνεται πως προάγουν την θεραπευτική συμμόρφωση και οδηγούν σε υγιέστερες συμπεριφορές και συνήθειες που βελτιώνουν τη σωματική υγεία και συμβάλλουν στην ψυχολογική ευεξία. </w:t>
      </w:r>
    </w:p>
    <w:p w:rsidR="001B3514" w:rsidRDefault="00782E3E">
      <w:pPr>
        <w:rPr>
          <w:lang w:eastAsia="zh-CN" w:bidi="hi-IN"/>
        </w:rPr>
      </w:pPr>
      <w:r>
        <w:br w:type="page"/>
      </w:r>
    </w:p>
    <w:p w:rsidR="001B3514" w:rsidRDefault="00782E3E">
      <w:pPr>
        <w:pStyle w:val="1"/>
        <w:rPr>
          <w:lang w:eastAsia="zh-CN" w:bidi="hi-IN"/>
        </w:rPr>
      </w:pPr>
      <w:bookmarkStart w:id="6" w:name="_Toc64641747"/>
      <w:r>
        <w:rPr>
          <w:lang w:eastAsia="zh-CN" w:bidi="hi-IN"/>
        </w:rPr>
        <w:lastRenderedPageBreak/>
        <w:t>1. Υγεία-νόσος-μοντέλα υγείας</w:t>
      </w:r>
      <w:bookmarkEnd w:id="6"/>
    </w:p>
    <w:p w:rsidR="001B3514" w:rsidRDefault="00782E3E">
      <w:pPr>
        <w:pStyle w:val="2"/>
        <w:rPr>
          <w:lang w:eastAsia="zh-CN" w:bidi="hi-IN"/>
        </w:rPr>
      </w:pPr>
      <w:bookmarkStart w:id="7" w:name="_Toc62205420"/>
      <w:bookmarkStart w:id="8" w:name="_Toc64641748"/>
      <w:r>
        <w:rPr>
          <w:lang w:eastAsia="zh-CN" w:bidi="hi-IN"/>
        </w:rPr>
        <w:t>1.1 Ιστορική αναδρομή</w:t>
      </w:r>
      <w:bookmarkEnd w:id="7"/>
      <w:bookmarkEnd w:id="8"/>
    </w:p>
    <w:p w:rsidR="001B3514" w:rsidRDefault="00782E3E">
      <w:pPr>
        <w:suppressAutoHyphens/>
        <w:spacing w:after="140"/>
        <w:rPr>
          <w:rFonts w:eastAsia="Arial Unicode MS" w:cs="Arial Unicode MS"/>
          <w:kern w:val="2"/>
          <w:szCs w:val="24"/>
          <w:lang w:eastAsia="zh-CN" w:bidi="hi-IN"/>
        </w:rPr>
      </w:pPr>
      <w:r>
        <w:rPr>
          <w:rFonts w:eastAsia="Arial Unicode MS" w:cs="Arial Unicode MS"/>
          <w:color w:val="000000"/>
          <w:kern w:val="2"/>
          <w:szCs w:val="24"/>
          <w:lang w:eastAsia="zh-CN" w:bidi="hi-IN"/>
        </w:rPr>
        <w:t>Μέχρι τα μισά του προηγούμενου αιώνα οι οξείες ασθένειες και κυρίως τα λοιμώδη νοσήματα αποτελούσαν τις κύριες αιτίες θανάτου του πληθυσμού. Η βελτίωση όμως της δημόσιας υγείας με την προαγωγή συνθηκών υγιεινής, τη βελτίωση της διατροφής</w:t>
      </w:r>
      <w:r w:rsidR="00F7158D">
        <w:rPr>
          <w:rFonts w:eastAsia="Arial Unicode MS" w:cs="Arial Unicode MS"/>
          <w:color w:val="000000"/>
          <w:kern w:val="2"/>
          <w:szCs w:val="24"/>
          <w:lang w:eastAsia="zh-CN" w:bidi="hi-IN"/>
        </w:rPr>
        <w:t>,</w:t>
      </w:r>
      <w:r w:rsidR="00F7158D" w:rsidRPr="00F7158D">
        <w:rPr>
          <w:rFonts w:eastAsia="Arial Unicode MS" w:cs="Arial Unicode MS"/>
          <w:color w:val="000000"/>
          <w:kern w:val="2"/>
          <w:szCs w:val="24"/>
          <w:lang w:eastAsia="zh-CN" w:bidi="hi-IN"/>
        </w:rPr>
        <w:t xml:space="preserve"> </w:t>
      </w:r>
      <w:r>
        <w:rPr>
          <w:rFonts w:eastAsia="Arial Unicode MS" w:cs="Arial Unicode MS"/>
          <w:color w:val="000000"/>
          <w:kern w:val="2"/>
          <w:szCs w:val="24"/>
          <w:lang w:eastAsia="zh-CN" w:bidi="hi-IN"/>
        </w:rPr>
        <w:t>της ύδρευσης και  στέγασης</w:t>
      </w:r>
      <w:r w:rsidR="00F7158D">
        <w:rPr>
          <w:rFonts w:eastAsia="Arial Unicode MS" w:cs="Arial Unicode MS"/>
          <w:color w:val="000000"/>
          <w:kern w:val="2"/>
          <w:szCs w:val="24"/>
          <w:lang w:eastAsia="zh-CN" w:bidi="hi-IN"/>
        </w:rPr>
        <w:t>,</w:t>
      </w:r>
      <w:r>
        <w:rPr>
          <w:rFonts w:eastAsia="Arial Unicode MS" w:cs="Arial Unicode MS"/>
          <w:color w:val="000000"/>
          <w:kern w:val="2"/>
          <w:szCs w:val="24"/>
          <w:lang w:eastAsia="zh-CN" w:bidi="hi-IN"/>
        </w:rPr>
        <w:t xml:space="preserve">  και την καθιέρωση της προ και περι- γεννητικής φροντίδας</w:t>
      </w:r>
      <w:r w:rsidR="00F7158D">
        <w:rPr>
          <w:rFonts w:eastAsia="Arial Unicode MS" w:cs="Arial Unicode MS"/>
          <w:color w:val="000000"/>
          <w:kern w:val="2"/>
          <w:szCs w:val="24"/>
          <w:lang w:eastAsia="zh-CN" w:bidi="hi-IN"/>
        </w:rPr>
        <w:t>,</w:t>
      </w:r>
      <w:r>
        <w:rPr>
          <w:rFonts w:eastAsia="Arial Unicode MS" w:cs="Arial Unicode MS"/>
          <w:color w:val="000000"/>
          <w:kern w:val="2"/>
          <w:szCs w:val="24"/>
          <w:lang w:eastAsia="zh-CN" w:bidi="hi-IN"/>
        </w:rPr>
        <w:t xml:space="preserve"> καθώς και τη διάδοση των αντιβιοτικών και των εμβολιασμών, έθεσε αρκετά από αυτά τα νοσήματα υπό έλεγχο και ανέδειξε ως κύριες αιτίες θανάτου τις χρόνιες παθήσεις. </w:t>
      </w:r>
    </w:p>
    <w:p w:rsidR="001B3514" w:rsidRDefault="00782E3E">
      <w:pPr>
        <w:suppressAutoHyphens/>
        <w:spacing w:after="140"/>
      </w:pPr>
      <w:r>
        <w:rPr>
          <w:rFonts w:eastAsia="Arial Unicode MS" w:cs="Arial Unicode MS"/>
          <w:kern w:val="2"/>
          <w:szCs w:val="24"/>
          <w:lang w:eastAsia="zh-CN" w:bidi="hi-IN"/>
        </w:rPr>
        <w:t xml:space="preserve">΄Ηδη από τις αρχές του 20 </w:t>
      </w:r>
      <w:r>
        <w:rPr>
          <w:rFonts w:eastAsia="Arial Unicode MS" w:cs="Arial Unicode MS"/>
          <w:kern w:val="2"/>
          <w:szCs w:val="24"/>
          <w:vertAlign w:val="superscript"/>
          <w:lang w:eastAsia="zh-CN" w:bidi="hi-IN"/>
        </w:rPr>
        <w:t xml:space="preserve">ου </w:t>
      </w:r>
      <w:r>
        <w:rPr>
          <w:rFonts w:eastAsia="Arial Unicode MS" w:cs="Arial Unicode MS"/>
          <w:kern w:val="2"/>
          <w:szCs w:val="24"/>
          <w:lang w:eastAsia="zh-CN" w:bidi="hi-IN"/>
        </w:rPr>
        <w:t xml:space="preserve"> αιώνα γίνονται προσπάθειες  για την ολιστική προσέγγιση της υγείας (Mind/Body Medicine). Από τη δεκαετία του 30 τίθενται οι βάσεις της ψυχοσωματικής και κοινωνικής ιατρικής (Χαλκιοπούλου, 1990)  και προς το τέλος του 20ου αιώνα γίνεται πλέον αντιληπτό πως το αγαθό της υγείας συνεχίζει να υπάρχει και μετά την εμφάνιση της νόσου . Η υγεία αναφέρεται πλέον σε μια θετική στάση ζωής. </w:t>
      </w:r>
    </w:p>
    <w:p w:rsidR="001B3514" w:rsidRDefault="00782E3E">
      <w:pPr>
        <w:suppressAutoHyphens/>
        <w:spacing w:after="140"/>
      </w:pPr>
      <w:r>
        <w:rPr>
          <w:rFonts w:eastAsia="Arial Unicode MS" w:cs="Arial Unicode MS"/>
          <w:kern w:val="2"/>
          <w:szCs w:val="24"/>
          <w:lang w:eastAsia="zh-CN" w:bidi="hi-IN"/>
        </w:rPr>
        <w:t xml:space="preserve">Η έννοια της νόσου τείνει πλέον  να διαχωριστεί απ’ αυτήν της ασθένειας. Σε αυτό έχει συμβάλλει κατά πολύ  η χρήση της τεχνολογίας στην ιατρική. Ο ορισμός της νόσου (Disease) αφορά κυρίως στο βιοϊατρικό μοντέλο για την αντίληψη της ασθένειας και αναφέρεται  στις παθολογικές βλάβες του οργανισμού καθώς εμφανίζεται με ένα σύνολο αντικειμενικών σημείων και συμπτωμάτων. Η διάγνωση γίνεται με συγκεκριμένη μέθοδο, που μπορεί να οδηγήσει σε θεραπεία ή εξάλειψη των συμπτωμάτων. </w:t>
      </w:r>
    </w:p>
    <w:p w:rsidR="001B3514" w:rsidRDefault="00782E3E">
      <w:pPr>
        <w:suppressAutoHyphens/>
        <w:spacing w:after="140"/>
        <w:rPr>
          <w:rFonts w:eastAsia="Arial Unicode MS" w:cs="Arial Unicode MS"/>
          <w:kern w:val="2"/>
          <w:szCs w:val="24"/>
          <w:lang w:eastAsia="zh-CN" w:bidi="hi-IN"/>
        </w:rPr>
      </w:pPr>
      <w:r>
        <w:rPr>
          <w:rFonts w:eastAsia="Arial Unicode MS" w:cs="Arial Unicode MS"/>
          <w:kern w:val="2"/>
          <w:szCs w:val="24"/>
          <w:lang w:eastAsia="zh-CN" w:bidi="hi-IN"/>
        </w:rPr>
        <w:t>Η έννοια της ασθένειας(Illness) είναι πιο ευρεία. Αν και συχνά σχετίζεται με μια νόσο, ωστόσο  περιλαμβάνει τις υποκειμενικές αντιλήψεις του ατόμου για τα συμπτώματά του</w:t>
      </w:r>
      <w:r w:rsidR="00F7158D">
        <w:rPr>
          <w:rFonts w:eastAsia="Arial Unicode MS" w:cs="Arial Unicode MS"/>
          <w:kern w:val="2"/>
          <w:szCs w:val="24"/>
          <w:lang w:eastAsia="zh-CN" w:bidi="hi-IN"/>
        </w:rPr>
        <w:t>,</w:t>
      </w:r>
      <w:r>
        <w:rPr>
          <w:rFonts w:eastAsia="Arial Unicode MS" w:cs="Arial Unicode MS"/>
          <w:kern w:val="2"/>
          <w:szCs w:val="24"/>
          <w:lang w:eastAsia="zh-CN" w:bidi="hi-IN"/>
        </w:rPr>
        <w:t xml:space="preserve"> τις αντιδράσεις του σε αυτά και την εναρμόνισή του με τις κοινωνικές νόρμες</w:t>
      </w:r>
      <w:r w:rsidR="00F7158D">
        <w:rPr>
          <w:rFonts w:eastAsia="Arial Unicode MS" w:cs="Arial Unicode MS"/>
          <w:kern w:val="2"/>
          <w:szCs w:val="24"/>
          <w:lang w:eastAsia="zh-CN" w:bidi="hi-IN"/>
        </w:rPr>
        <w:t>,</w:t>
      </w:r>
      <w:r>
        <w:rPr>
          <w:rFonts w:eastAsia="Arial Unicode MS" w:cs="Arial Unicode MS"/>
          <w:kern w:val="2"/>
          <w:szCs w:val="24"/>
          <w:lang w:eastAsia="zh-CN" w:bidi="hi-IN"/>
        </w:rPr>
        <w:t xml:space="preserve"> δηλ. τους κανόνες που ρυθμίζουν τη ψυχοκοινωνική του λειτουργία</w:t>
      </w:r>
      <w:r w:rsidR="00F7158D" w:rsidRPr="00F7158D">
        <w:rPr>
          <w:rFonts w:eastAsia="Arial Unicode MS" w:cs="Arial Unicode MS"/>
          <w:kern w:val="2"/>
          <w:szCs w:val="24"/>
          <w:lang w:eastAsia="zh-CN" w:bidi="hi-IN"/>
        </w:rPr>
        <w:t xml:space="preserve"> </w:t>
      </w:r>
      <w:r>
        <w:rPr>
          <w:rFonts w:eastAsia="Arial Unicode MS" w:cs="Arial Unicode MS"/>
          <w:kern w:val="2"/>
          <w:szCs w:val="24"/>
          <w:lang w:eastAsia="zh-CN" w:bidi="hi-IN"/>
        </w:rPr>
        <w:t>(Di Matteo, Martin</w:t>
      </w:r>
      <w:r w:rsidR="00F7158D">
        <w:rPr>
          <w:rFonts w:eastAsia="Arial Unicode MS" w:cs="Arial Unicode MS"/>
          <w:kern w:val="2"/>
          <w:szCs w:val="24"/>
          <w:lang w:eastAsia="zh-CN" w:bidi="hi-IN"/>
        </w:rPr>
        <w:t>,</w:t>
      </w:r>
      <w:r w:rsidR="00F7158D" w:rsidRPr="00F7158D">
        <w:rPr>
          <w:rFonts w:eastAsia="Arial Unicode MS" w:cs="Arial Unicode MS"/>
          <w:kern w:val="2"/>
          <w:szCs w:val="24"/>
          <w:lang w:eastAsia="zh-CN" w:bidi="hi-IN"/>
        </w:rPr>
        <w:t xml:space="preserve"> </w:t>
      </w:r>
      <w:r>
        <w:rPr>
          <w:rFonts w:eastAsia="Arial Unicode MS" w:cs="Arial Unicode MS"/>
          <w:kern w:val="2"/>
          <w:szCs w:val="24"/>
          <w:lang w:eastAsia="zh-CN" w:bidi="hi-IN"/>
        </w:rPr>
        <w:t>2011).</w:t>
      </w:r>
    </w:p>
    <w:p w:rsidR="001B3514" w:rsidRDefault="00782E3E">
      <w:pPr>
        <w:suppressAutoHyphens/>
        <w:spacing w:after="140"/>
        <w:rPr>
          <w:rFonts w:eastAsia="Arial Unicode MS" w:cs="Arial Unicode MS"/>
          <w:kern w:val="2"/>
          <w:szCs w:val="24"/>
          <w:lang w:eastAsia="zh-CN" w:bidi="hi-IN"/>
        </w:rPr>
      </w:pPr>
      <w:r>
        <w:rPr>
          <w:rFonts w:eastAsia="Arial Unicode MS" w:cs="Arial Unicode MS"/>
          <w:color w:val="000000"/>
          <w:kern w:val="2"/>
          <w:szCs w:val="24"/>
          <w:lang w:eastAsia="zh-CN" w:bidi="hi-IN"/>
        </w:rPr>
        <w:t xml:space="preserve">Τέλος, η έννοια της αρρώστιας (Sickness) ορίζει περισσότερο την κοινωνική αντίληψη για τη νόσο. </w:t>
      </w:r>
    </w:p>
    <w:p w:rsidR="001B3514" w:rsidRDefault="00782E3E">
      <w:pPr>
        <w:suppressAutoHyphens/>
        <w:spacing w:after="140"/>
        <w:rPr>
          <w:rFonts w:eastAsia="Arial Unicode MS" w:cs="Arial Unicode MS"/>
          <w:kern w:val="2"/>
          <w:szCs w:val="24"/>
          <w:lang w:eastAsia="zh-CN" w:bidi="hi-IN"/>
        </w:rPr>
      </w:pPr>
      <w:r>
        <w:rPr>
          <w:rFonts w:eastAsia="Arial Unicode MS" w:cs="Arial Unicode MS"/>
          <w:kern w:val="2"/>
          <w:szCs w:val="24"/>
          <w:lang w:eastAsia="zh-CN" w:bidi="hi-IN"/>
        </w:rPr>
        <w:t xml:space="preserve">Έχοντας μεγάλο ενδιαφέρον για τα χρόνια νοσήματα. ο φυσιολόγου Hans Selye ανέδειξε με τις μελέτες του το ρόλο του άγχους στους χρόνιους ασθενείς . Καταγράφηκε ένας κοινός τρόπος </w:t>
      </w:r>
      <w:r>
        <w:rPr>
          <w:rFonts w:eastAsia="Arial Unicode MS" w:cs="Arial Unicode MS"/>
          <w:kern w:val="2"/>
          <w:szCs w:val="24"/>
          <w:lang w:eastAsia="zh-CN" w:bidi="hi-IN"/>
        </w:rPr>
        <w:lastRenderedPageBreak/>
        <w:t>ανταπόκρισης στην ασθένεια</w:t>
      </w:r>
      <w:r w:rsidR="00F7158D">
        <w:rPr>
          <w:rFonts w:eastAsia="Arial Unicode MS" w:cs="Arial Unicode MS"/>
          <w:kern w:val="2"/>
          <w:szCs w:val="24"/>
          <w:lang w:eastAsia="zh-CN" w:bidi="hi-IN"/>
        </w:rPr>
        <w:t>,</w:t>
      </w:r>
      <w:r>
        <w:rPr>
          <w:rFonts w:eastAsia="Arial Unicode MS" w:cs="Arial Unicode MS"/>
          <w:kern w:val="2"/>
          <w:szCs w:val="24"/>
          <w:lang w:eastAsia="zh-CN" w:bidi="hi-IN"/>
        </w:rPr>
        <w:t xml:space="preserve"> που περιλάμβανε την αρχική φάση   συναγερμού, τη δεύτερη φάση αντίστασης ή προσαρμογής και την τρίτη φάση εξάντλησης και θανάτου  ( σύνδρομο γενικής προσαρμογής ή σύνδρομο Selye). Η γνώση για την  αλληλεπίδραση του άγχους στην εμφάνιση ψυχοσωματικών και σωματοψυχικών προβλημάτων υγείας συνέπεσε με την εξέλιξη του ολιστικού μοντέλου στην υγεία.</w:t>
      </w:r>
    </w:p>
    <w:p w:rsidR="001B3514" w:rsidRDefault="00782E3E">
      <w:pPr>
        <w:suppressAutoHyphens/>
        <w:spacing w:after="140"/>
        <w:rPr>
          <w:rFonts w:eastAsia="Arial Unicode MS" w:cs="Arial Unicode MS"/>
          <w:kern w:val="2"/>
          <w:szCs w:val="24"/>
          <w:lang w:eastAsia="zh-CN" w:bidi="hi-IN"/>
        </w:rPr>
      </w:pPr>
      <w:r>
        <w:rPr>
          <w:rFonts w:eastAsia="Arial Unicode MS" w:cs="Liberation Serif"/>
          <w:kern w:val="2"/>
          <w:szCs w:val="24"/>
          <w:lang w:eastAsia="zh-CN" w:bidi="hi-IN"/>
        </w:rPr>
        <w:t>Το 1977</w:t>
      </w:r>
      <w:r w:rsidR="00F7158D">
        <w:rPr>
          <w:rFonts w:eastAsia="Arial Unicode MS" w:cs="Liberation Serif"/>
          <w:kern w:val="2"/>
          <w:szCs w:val="24"/>
          <w:lang w:eastAsia="zh-CN" w:bidi="hi-IN"/>
        </w:rPr>
        <w:t>,</w:t>
      </w:r>
      <w:r w:rsidR="00F7158D" w:rsidRPr="00F7158D">
        <w:rPr>
          <w:rFonts w:eastAsia="Arial Unicode MS" w:cs="Liberation Serif"/>
          <w:kern w:val="2"/>
          <w:szCs w:val="24"/>
          <w:lang w:eastAsia="zh-CN" w:bidi="hi-IN"/>
        </w:rPr>
        <w:t xml:space="preserve"> </w:t>
      </w:r>
      <w:r>
        <w:rPr>
          <w:rFonts w:eastAsia="Arial Unicode MS" w:cs="Liberation Serif"/>
          <w:kern w:val="2"/>
          <w:szCs w:val="24"/>
          <w:lang w:eastAsia="zh-CN" w:bidi="hi-IN"/>
        </w:rPr>
        <w:t>ο ψυχίατρος George Engel ε</w:t>
      </w:r>
      <w:r>
        <w:rPr>
          <w:rFonts w:eastAsia="Arial Unicode MS" w:cs="Liberation Serif"/>
          <w:color w:val="000000"/>
          <w:kern w:val="2"/>
          <w:szCs w:val="24"/>
          <w:lang w:eastAsia="zh-CN" w:bidi="hi-IN"/>
        </w:rPr>
        <w:t>ισάγει το βιοψυχοκοινωνικό μοντέλο στην αντίληψη της υγείας και στη διαχείριση της χρόνια νόσου. Υποστηρίζει την βιολογική, τη ψυχολογική και την κοινωνική διάσταση στη έναρξη, εξέλιξη και τελική έκβαση μιας ασθένειας σε  αντίθεση με το υπάρχον βιοίατρικό μοντέλο</w:t>
      </w:r>
      <w:r w:rsidR="00F7158D">
        <w:rPr>
          <w:rFonts w:eastAsia="Arial Unicode MS" w:cs="Liberation Serif"/>
          <w:color w:val="000000"/>
          <w:kern w:val="2"/>
          <w:szCs w:val="24"/>
          <w:lang w:eastAsia="zh-CN" w:bidi="hi-IN"/>
        </w:rPr>
        <w:t>,</w:t>
      </w:r>
      <w:r w:rsidR="00F7158D" w:rsidRPr="00F7158D">
        <w:rPr>
          <w:rFonts w:eastAsia="Arial Unicode MS" w:cs="Liberation Serif"/>
          <w:color w:val="000000"/>
          <w:kern w:val="2"/>
          <w:szCs w:val="24"/>
          <w:lang w:eastAsia="zh-CN" w:bidi="hi-IN"/>
        </w:rPr>
        <w:t xml:space="preserve"> </w:t>
      </w:r>
      <w:r>
        <w:rPr>
          <w:rFonts w:eastAsia="Arial Unicode MS" w:cs="Liberation Serif"/>
          <w:color w:val="000000"/>
          <w:kern w:val="2"/>
          <w:szCs w:val="24"/>
          <w:lang w:eastAsia="zh-CN" w:bidi="hi-IN"/>
        </w:rPr>
        <w:t>που χρησιμοποιεί μόνο βιολογικές μεταβλητές  στην προσέγγιση της νόσου. Εξάλλου, η ολοένα μεγαλύτερη αύξηση του κόστους της ιατρικής περίθαλψης και το αυξημένο ποσοστό εμφάνισης ιατρογενών παθήσεων, τουλάχιστον στο 20% των ασθενών, μαζί με τα γενικότερα προβλήματα οργάνωσης και απόδοσης του συστήματος υγείας, ενέτειναν τον ανταγωνισμό των ιατρών και απομυθοποίησαν την αυθεντία των ειδικών. Από την πλευρά των ασθενών αμφισβητήθηκε τη σχέση κόστους/ αποτελεσματικότητας των υπηρεσιών υγείας και εκφράστηκε η ανάγκη  για  σεβασμό των πεποιθήσεων και επιθυμιών του ασθενούς για την υγεία του.</w:t>
      </w:r>
    </w:p>
    <w:p w:rsidR="001B3514" w:rsidRDefault="00782E3E">
      <w:pPr>
        <w:suppressAutoHyphens/>
        <w:spacing w:after="140"/>
        <w:rPr>
          <w:rFonts w:eastAsia="Arial Unicode MS" w:cs="Arial Unicode MS"/>
          <w:kern w:val="2"/>
          <w:szCs w:val="24"/>
          <w:lang w:eastAsia="zh-CN" w:bidi="hi-IN"/>
        </w:rPr>
      </w:pPr>
      <w:r>
        <w:rPr>
          <w:rFonts w:eastAsia="Arial Unicode MS" w:cs="Liberation Serif"/>
          <w:color w:val="000000"/>
          <w:kern w:val="2"/>
          <w:szCs w:val="24"/>
          <w:lang w:eastAsia="zh-CN" w:bidi="hi-IN"/>
        </w:rPr>
        <w:t>Το 2003 η Johnson προτείνει το βιο-ψυχο-κοινωνικό-πολιτισμικό μοντέλο της υγείας. Δεν είναι λίγοι όμως και οι ψυχολόγοι που αναγνωρίζουν μόνο τη ψυχολογική μεταβλητή  στο χώρο της υγείας</w:t>
      </w:r>
      <w:r w:rsidR="00F7158D" w:rsidRPr="00F7158D">
        <w:rPr>
          <w:rFonts w:eastAsia="Arial Unicode MS" w:cs="Liberation Serif"/>
          <w:color w:val="000000"/>
          <w:kern w:val="2"/>
          <w:szCs w:val="24"/>
          <w:lang w:eastAsia="zh-CN" w:bidi="hi-IN"/>
        </w:rPr>
        <w:t xml:space="preserve"> </w:t>
      </w:r>
      <w:r>
        <w:rPr>
          <w:rFonts w:eastAsia="Arial Unicode MS" w:cs="Liberation Serif"/>
          <w:color w:val="000000"/>
          <w:kern w:val="2"/>
          <w:szCs w:val="24"/>
          <w:lang w:eastAsia="zh-CN" w:bidi="hi-IN"/>
        </w:rPr>
        <w:t xml:space="preserve"> με το κοινωνικό και πολιτισμικό πλαίσιο συχνά να αγνοούνται</w:t>
      </w:r>
      <w:r w:rsidR="00F7158D" w:rsidRPr="00F7158D">
        <w:rPr>
          <w:rFonts w:eastAsia="Arial Unicode MS" w:cs="Liberation Serif"/>
          <w:color w:val="000000"/>
          <w:kern w:val="2"/>
          <w:szCs w:val="24"/>
          <w:lang w:eastAsia="zh-CN" w:bidi="hi-IN"/>
        </w:rPr>
        <w:t xml:space="preserve"> </w:t>
      </w:r>
      <w:r>
        <w:rPr>
          <w:rFonts w:eastAsia="Arial Unicode MS" w:cs="Liberation Serif"/>
          <w:color w:val="000000"/>
          <w:kern w:val="2"/>
          <w:szCs w:val="24"/>
          <w:lang w:eastAsia="zh-CN" w:bidi="hi-IN"/>
        </w:rPr>
        <w:t>(Καραδήμος, 2005) .</w:t>
      </w:r>
    </w:p>
    <w:p w:rsidR="001B3514" w:rsidRDefault="00782E3E">
      <w:pPr>
        <w:suppressAutoHyphens/>
        <w:spacing w:after="140"/>
      </w:pPr>
      <w:r>
        <w:rPr>
          <w:rFonts w:eastAsia="Arial Unicode MS" w:cs="Liberation Serif"/>
          <w:color w:val="000000"/>
          <w:kern w:val="2"/>
          <w:szCs w:val="24"/>
          <w:lang w:eastAsia="zh-CN" w:bidi="hi-IN"/>
        </w:rPr>
        <w:t>Σύμφωνα με  το βιοψυχοκοινωνικό μοντέλο για την ασθένεια (και την υγεία ) συνδυασμοί παραγόντων συμβάλλουν</w:t>
      </w:r>
      <w:r w:rsidR="00F7158D">
        <w:rPr>
          <w:rFonts w:eastAsia="Arial Unicode MS" w:cs="Liberation Serif"/>
          <w:color w:val="000000"/>
          <w:kern w:val="2"/>
          <w:szCs w:val="24"/>
          <w:lang w:eastAsia="zh-CN" w:bidi="hi-IN"/>
        </w:rPr>
        <w:t>,</w:t>
      </w:r>
      <w:r>
        <w:rPr>
          <w:rFonts w:eastAsia="Arial Unicode MS" w:cs="Liberation Serif"/>
          <w:color w:val="000000"/>
          <w:kern w:val="2"/>
          <w:szCs w:val="24"/>
          <w:lang w:eastAsia="zh-CN" w:bidi="hi-IN"/>
        </w:rPr>
        <w:t xml:space="preserve"> ώστε οι χρόνιοι ασθενείς, όπως οι υπερτασικοί, να ασχοληθούν με τα ποικίλα συμπτώματα που η νόσος προκαλεί στο σώμα τους.(DiMatteo et al., 2011) Ο βαθμός που οι ασθενείς εστιάζουν την προσοχή τους σε απειλητικά συμπτώματα, όπως είναι τα συμπτώματα της νόσου, καθώς και η σημαντικότητα των συμπτωμάτων, το υποκειμενικό όριο αντοχής στα συμπτώματα, οι εμπειρίες της παιδικής ηλικίας</w:t>
      </w:r>
      <w:r w:rsidR="00F7158D">
        <w:rPr>
          <w:rFonts w:eastAsia="Arial Unicode MS" w:cs="Liberation Serif"/>
          <w:color w:val="000000"/>
          <w:kern w:val="2"/>
          <w:szCs w:val="24"/>
          <w:lang w:eastAsia="zh-CN" w:bidi="hi-IN"/>
        </w:rPr>
        <w:t>,</w:t>
      </w:r>
      <w:r>
        <w:rPr>
          <w:rFonts w:eastAsia="Arial Unicode MS" w:cs="Liberation Serif"/>
          <w:color w:val="000000"/>
          <w:kern w:val="2"/>
          <w:szCs w:val="24"/>
          <w:lang w:eastAsia="zh-CN" w:bidi="hi-IN"/>
        </w:rPr>
        <w:t xml:space="preserve"> το πολιτισμικό υπόβαθρο</w:t>
      </w:r>
      <w:r w:rsidR="00F7158D">
        <w:rPr>
          <w:rFonts w:eastAsia="Arial Unicode MS" w:cs="Liberation Serif"/>
          <w:color w:val="000000"/>
          <w:kern w:val="2"/>
          <w:szCs w:val="24"/>
          <w:lang w:eastAsia="zh-CN" w:bidi="hi-IN"/>
        </w:rPr>
        <w:t>,</w:t>
      </w:r>
      <w:r>
        <w:rPr>
          <w:rFonts w:eastAsia="Arial Unicode MS" w:cs="Liberation Serif"/>
          <w:color w:val="000000"/>
          <w:kern w:val="2"/>
          <w:szCs w:val="24"/>
          <w:lang w:eastAsia="zh-CN" w:bidi="hi-IN"/>
        </w:rPr>
        <w:t xml:space="preserve"> οι συνθήκες που επικρατούν την εποχή που εκδηλώνονται τα συμπτώματα</w:t>
      </w:r>
      <w:r w:rsidR="00F7158D">
        <w:rPr>
          <w:rFonts w:eastAsia="Arial Unicode MS" w:cs="Liberation Serif"/>
          <w:color w:val="000000"/>
          <w:kern w:val="2"/>
          <w:szCs w:val="24"/>
          <w:lang w:eastAsia="zh-CN" w:bidi="hi-IN"/>
        </w:rPr>
        <w:t>,</w:t>
      </w:r>
      <w:r>
        <w:rPr>
          <w:rFonts w:eastAsia="Arial Unicode MS" w:cs="Liberation Serif"/>
          <w:color w:val="000000"/>
          <w:kern w:val="2"/>
          <w:szCs w:val="24"/>
          <w:lang w:eastAsia="zh-CN" w:bidi="hi-IN"/>
        </w:rPr>
        <w:t>το φύλο και</w:t>
      </w:r>
      <w:r>
        <w:rPr>
          <w:rFonts w:eastAsia="Arial Unicode MS" w:cs="Times New Roman"/>
          <w:color w:val="000000"/>
          <w:kern w:val="2"/>
          <w:szCs w:val="24"/>
          <w:lang w:eastAsia="zh-CN" w:bidi="hi-IN"/>
        </w:rPr>
        <w:t xml:space="preserve"> </w:t>
      </w:r>
      <w:r>
        <w:rPr>
          <w:rFonts w:eastAsia="Arial Unicode MS" w:cs="Liberation Serif"/>
          <w:color w:val="000000"/>
          <w:kern w:val="2"/>
          <w:szCs w:val="24"/>
          <w:lang w:eastAsia="zh-CN" w:bidi="hi-IN"/>
        </w:rPr>
        <w:t>γνωστικοί παράγοντες, βοηθούν στην κατανόηση της συμπεριφοράς σε θέματα υγείας. (Παπαδάτου, Αναγνωστόπουλος, 2012).</w:t>
      </w:r>
    </w:p>
    <w:p w:rsidR="001B3514" w:rsidRDefault="00782E3E">
      <w:pPr>
        <w:suppressAutoHyphens/>
        <w:spacing w:after="140"/>
      </w:pPr>
      <w:r>
        <w:rPr>
          <w:rFonts w:eastAsia="Arial Unicode MS" w:cs="Liberation Serif"/>
          <w:color w:val="000000"/>
          <w:kern w:val="2"/>
          <w:szCs w:val="24"/>
          <w:lang w:eastAsia="zh-CN" w:bidi="hi-IN"/>
        </w:rPr>
        <w:lastRenderedPageBreak/>
        <w:t xml:space="preserve">Η προσέγγιση του ασθενούς με στόχο τον  εντοπισμό και τον έλεγχο των αιτιών αυτών βοηθούν στην πρόληψη και στον έλεγχο χρονίων νοσημάτων, όπως της Υπέρτασης, αλλά και στην καλύτερη διαχείριση  των επιπλοκών τους και κατά συνέπεια στην προώθηση της δημόσιας υγείας (ΠΟΥ, 2017). </w:t>
      </w:r>
    </w:p>
    <w:p w:rsidR="001B3514" w:rsidRDefault="00782E3E">
      <w:pPr>
        <w:pStyle w:val="2"/>
        <w:rPr>
          <w:lang w:eastAsia="zh-CN" w:bidi="hi-IN"/>
        </w:rPr>
      </w:pPr>
      <w:bookmarkStart w:id="9" w:name="_Toc62205421"/>
      <w:bookmarkStart w:id="10" w:name="_Toc64641749"/>
      <w:r>
        <w:rPr>
          <w:lang w:eastAsia="zh-CN" w:bidi="hi-IN"/>
        </w:rPr>
        <w:t>1.2 Προσέγγιση της έννοιας αρτηριακή υπέρταση</w:t>
      </w:r>
      <w:bookmarkEnd w:id="9"/>
      <w:bookmarkEnd w:id="10"/>
    </w:p>
    <w:p w:rsidR="001B3514" w:rsidRDefault="00782E3E">
      <w:pPr>
        <w:suppressAutoHyphens/>
        <w:spacing w:after="140"/>
        <w:rPr>
          <w:rFonts w:eastAsia="Arial Unicode MS" w:cs="Arial Unicode MS"/>
          <w:kern w:val="2"/>
          <w:szCs w:val="24"/>
          <w:lang w:eastAsia="zh-CN" w:bidi="hi-IN"/>
        </w:rPr>
      </w:pPr>
      <w:r>
        <w:rPr>
          <w:rFonts w:eastAsia="Arial Unicode MS" w:cs="Arial Unicode MS"/>
          <w:kern w:val="2"/>
          <w:szCs w:val="24"/>
          <w:lang w:eastAsia="zh-CN" w:bidi="hi-IN"/>
        </w:rPr>
        <w:t>Αρτηριακή Υπέρταση καλείται η αυξημένη πίεση του αίματος στο εσωτερικό τοίχωμα των μεγάλων αρτηριών του σώματος(Εθνικός Οργανισμός Δημόσιας Υγείας, 2013). Η πίεση του αίματος  επηρεάζεται γενικότερα από αρκετούς παράγοντες, όπως τη στάση του σώματος, τη θερμοκρασία, τη συναισθηματική δυσφορία και τη συναισθηματική διέγερση, την κληρονομικότητα, το φύλο και τη φυλή, τη σωματική διάπλαση και τη διατροφή.</w:t>
      </w:r>
    </w:p>
    <w:p w:rsidR="001B3514" w:rsidRDefault="00782E3E">
      <w:pPr>
        <w:suppressAutoHyphens/>
        <w:spacing w:after="140"/>
        <w:rPr>
          <w:rFonts w:eastAsia="Arial Unicode MS" w:cs="Arial Unicode MS"/>
          <w:kern w:val="2"/>
          <w:szCs w:val="24"/>
          <w:lang w:eastAsia="zh-CN" w:bidi="hi-IN"/>
        </w:rPr>
      </w:pPr>
      <w:r>
        <w:rPr>
          <w:rFonts w:eastAsia="Arial Unicode MS" w:cs="Arial Unicode MS"/>
          <w:kern w:val="2"/>
          <w:szCs w:val="24"/>
          <w:lang w:eastAsia="zh-CN" w:bidi="hi-IN"/>
        </w:rPr>
        <w:t>Στην καθημερινότητα μετράται</w:t>
      </w:r>
      <w:r w:rsidR="00F7158D">
        <w:rPr>
          <w:rFonts w:eastAsia="Arial Unicode MS" w:cs="Arial Unicode MS"/>
          <w:kern w:val="2"/>
          <w:szCs w:val="24"/>
          <w:lang w:eastAsia="zh-CN" w:bidi="hi-IN"/>
        </w:rPr>
        <w:t>,</w:t>
      </w:r>
      <w:r w:rsidR="00F7158D" w:rsidRPr="00F7158D">
        <w:rPr>
          <w:rFonts w:eastAsia="Arial Unicode MS" w:cs="Arial Unicode MS"/>
          <w:kern w:val="2"/>
          <w:szCs w:val="24"/>
          <w:lang w:eastAsia="zh-CN" w:bidi="hi-IN"/>
        </w:rPr>
        <w:t xml:space="preserve"> </w:t>
      </w:r>
      <w:r>
        <w:rPr>
          <w:rFonts w:eastAsia="Arial Unicode MS" w:cs="Arial Unicode MS"/>
          <w:kern w:val="2"/>
          <w:szCs w:val="24"/>
          <w:lang w:eastAsia="zh-CN" w:bidi="hi-IN"/>
        </w:rPr>
        <w:t>κατά προσέγγιση, η πίεση στη βραχιόνιο αρτηρία με το πιεσόμετρο, φουσκώνοντας την περιχειρίδα γύρω από τον βραχίονα. Η πίεση στον αεροθάλαμο αυξάνεται έως ότου διακοπεί η ροή του αρτηριακού αίματος στη αρτηρία. Ακολουθεί σταδιακή απελευθέρωση του αέρα και μόλις αρχίσει το αίμα  να περνά ξανά από το αγγείο  παράγεται χαρακτηριστικός ήχος</w:t>
      </w:r>
      <w:r w:rsidR="00F7158D" w:rsidRPr="00F7158D">
        <w:rPr>
          <w:rFonts w:eastAsia="Arial Unicode MS" w:cs="Arial Unicode MS"/>
          <w:kern w:val="2"/>
          <w:szCs w:val="24"/>
          <w:lang w:eastAsia="zh-CN" w:bidi="hi-IN"/>
        </w:rPr>
        <w:t xml:space="preserve"> </w:t>
      </w:r>
      <w:r>
        <w:rPr>
          <w:rFonts w:eastAsia="Arial Unicode MS" w:cs="Arial Unicode MS"/>
          <w:kern w:val="2"/>
          <w:szCs w:val="24"/>
          <w:lang w:eastAsia="zh-CN" w:bidi="hi-IN"/>
        </w:rPr>
        <w:t>1</w:t>
      </w:r>
      <w:r>
        <w:rPr>
          <w:rFonts w:eastAsia="Arial Unicode MS" w:cs="Arial Unicode MS"/>
          <w:kern w:val="2"/>
          <w:szCs w:val="24"/>
          <w:vertAlign w:val="superscript"/>
          <w:lang w:eastAsia="zh-CN" w:bidi="hi-IN"/>
        </w:rPr>
        <w:t xml:space="preserve">ος </w:t>
      </w:r>
      <w:r>
        <w:rPr>
          <w:rFonts w:eastAsia="Arial Unicode MS" w:cs="Arial Unicode MS"/>
          <w:kern w:val="2"/>
          <w:szCs w:val="24"/>
          <w:lang w:eastAsia="zh-CN" w:bidi="hi-IN"/>
        </w:rPr>
        <w:t>ήχος Κorotkov</w:t>
      </w:r>
      <w:r w:rsidR="00F7158D">
        <w:rPr>
          <w:rFonts w:eastAsia="Arial Unicode MS" w:cs="Arial Unicode MS"/>
          <w:kern w:val="2"/>
          <w:szCs w:val="24"/>
          <w:lang w:eastAsia="zh-CN" w:bidi="hi-IN"/>
        </w:rPr>
        <w:t>,</w:t>
      </w:r>
      <w:r>
        <w:rPr>
          <w:rFonts w:eastAsia="Arial Unicode MS" w:cs="Arial Unicode MS"/>
          <w:kern w:val="2"/>
          <w:szCs w:val="24"/>
          <w:lang w:eastAsia="zh-CN" w:bidi="hi-IN"/>
        </w:rPr>
        <w:t xml:space="preserve"> που αντιστοιχεί στην συστολική πίεση. Καθώς συνεχίζει να μειώνεται η πίεση στον αεροθάλαμο, ήχοι Korotkov συνεχίζουν να παράγονται μέχρι του σημείου που  δεν παρεμποδίζεται πλέον η αιματική ροή στο αγγείο . Η καταγραφόμενη πίεση τη στιγμή αυτή αντιστοιχεί στη διαστολική πίεση. Μονάδες μέτρησης ΑΠ είναι  mmHg και παθολογικές τιμές εμφανίζουν γενικότερα τα άτομα με συστολική πίεση </w:t>
      </w:r>
      <w:r>
        <w:rPr>
          <w:rFonts w:eastAsia="Arial Unicode MS" w:cs="Arial Unicode MS"/>
          <w:b/>
          <w:bCs/>
          <w:kern w:val="2"/>
          <w:szCs w:val="24"/>
          <w:u w:val="single"/>
          <w:lang w:eastAsia="zh-CN" w:bidi="hi-IN"/>
        </w:rPr>
        <w:t>&gt;</w:t>
      </w:r>
      <w:r>
        <w:rPr>
          <w:rFonts w:eastAsia="Arial Unicode MS" w:cs="Arial Unicode MS"/>
          <w:b/>
          <w:bCs/>
          <w:kern w:val="2"/>
          <w:szCs w:val="24"/>
          <w:lang w:eastAsia="zh-CN" w:bidi="hi-IN"/>
        </w:rPr>
        <w:t xml:space="preserve"> </w:t>
      </w:r>
      <w:r>
        <w:rPr>
          <w:rFonts w:eastAsia="Arial Unicode MS" w:cs="Arial Unicode MS"/>
          <w:kern w:val="2"/>
          <w:szCs w:val="24"/>
          <w:lang w:eastAsia="zh-CN" w:bidi="hi-IN"/>
        </w:rPr>
        <w:t xml:space="preserve">από 140mmHg και διαστολική </w:t>
      </w:r>
      <w:r>
        <w:rPr>
          <w:rFonts w:eastAsia="Arial Unicode MS" w:cs="Arial Unicode MS"/>
          <w:kern w:val="2"/>
          <w:szCs w:val="24"/>
          <w:u w:val="single"/>
          <w:lang w:eastAsia="zh-CN" w:bidi="hi-IN"/>
        </w:rPr>
        <w:t>&gt;</w:t>
      </w:r>
      <w:r>
        <w:rPr>
          <w:rFonts w:eastAsia="Arial Unicode MS" w:cs="Arial Unicode MS"/>
          <w:color w:val="CE181E"/>
          <w:kern w:val="2"/>
          <w:szCs w:val="24"/>
          <w:lang w:eastAsia="zh-CN" w:bidi="hi-IN"/>
        </w:rPr>
        <w:t xml:space="preserve"> </w:t>
      </w:r>
      <w:r>
        <w:rPr>
          <w:rFonts w:eastAsia="Arial Unicode MS" w:cs="Arial Unicode MS"/>
          <w:color w:val="000000"/>
          <w:kern w:val="2"/>
          <w:szCs w:val="24"/>
          <w:lang w:eastAsia="zh-CN" w:bidi="hi-IN"/>
        </w:rPr>
        <w:t xml:space="preserve">από 90 mmHg. </w:t>
      </w:r>
    </w:p>
    <w:p w:rsidR="001B3514" w:rsidRDefault="00782E3E">
      <w:pPr>
        <w:suppressAutoHyphens/>
        <w:spacing w:after="140"/>
        <w:rPr>
          <w:rFonts w:eastAsia="Arial Unicode MS" w:cs="Arial Unicode MS"/>
          <w:kern w:val="2"/>
          <w:szCs w:val="24"/>
          <w:lang w:eastAsia="zh-CN" w:bidi="hi-IN"/>
        </w:rPr>
      </w:pPr>
      <w:r>
        <w:rPr>
          <w:rFonts w:eastAsia="Arial Unicode MS" w:cs="Liberation Serif"/>
          <w:color w:val="000000"/>
          <w:kern w:val="2"/>
          <w:szCs w:val="24"/>
          <w:lang w:eastAsia="zh-CN" w:bidi="hi-IN"/>
        </w:rPr>
        <w:t>Η υψηλή αρτηριακή πίεση προκαλεί φθορά του έσω χιτώνα των αρτηριών</w:t>
      </w:r>
      <w:r w:rsidR="00F7158D">
        <w:rPr>
          <w:rFonts w:eastAsia="Arial Unicode MS" w:cs="Liberation Serif"/>
          <w:color w:val="000000"/>
          <w:kern w:val="2"/>
          <w:szCs w:val="24"/>
          <w:lang w:eastAsia="zh-CN" w:bidi="hi-IN"/>
        </w:rPr>
        <w:t>,</w:t>
      </w:r>
      <w:r>
        <w:rPr>
          <w:rFonts w:eastAsia="Arial Unicode MS" w:cs="Liberation Serif"/>
          <w:color w:val="000000"/>
          <w:kern w:val="2"/>
          <w:szCs w:val="24"/>
          <w:lang w:eastAsia="zh-CN" w:bidi="hi-IN"/>
        </w:rPr>
        <w:t xml:space="preserve"> η οποία οδηγεί σε σχηματισμό πλάκας χοληστερίνης</w:t>
      </w:r>
      <w:r w:rsidR="00F7158D">
        <w:rPr>
          <w:rFonts w:eastAsia="Arial Unicode MS" w:cs="Liberation Serif"/>
          <w:color w:val="000000"/>
          <w:kern w:val="2"/>
          <w:szCs w:val="24"/>
          <w:lang w:eastAsia="zh-CN" w:bidi="hi-IN"/>
        </w:rPr>
        <w:t>,</w:t>
      </w:r>
      <w:r>
        <w:rPr>
          <w:rFonts w:eastAsia="Arial Unicode MS" w:cs="Liberation Serif"/>
          <w:color w:val="000000"/>
          <w:kern w:val="2"/>
          <w:szCs w:val="24"/>
          <w:lang w:eastAsia="zh-CN" w:bidi="hi-IN"/>
        </w:rPr>
        <w:t xml:space="preserve"> όπου επικάθονται άλατα, τα οποία με τη σειρά τους σκληραίνουν το αγγειακό τοίχωμα προκαλώντας αθηρωμάτωση. Η εμφάνιση υπέρτασης σχετίζεται με αυξημένο κίνδυνο επιπλοκών από το καρδιαγγειακό σύστημα( έμφραγμα και στεφανιαία νόσος), από το κεντρικό νευρικό σύστημα (αγγειακά εγκεφαλικά επεισόδια)</w:t>
      </w:r>
      <w:r w:rsidR="00F7158D">
        <w:rPr>
          <w:rFonts w:eastAsia="Arial Unicode MS" w:cs="Liberation Serif"/>
          <w:color w:val="000000"/>
          <w:kern w:val="2"/>
          <w:szCs w:val="24"/>
          <w:lang w:eastAsia="zh-CN" w:bidi="hi-IN"/>
        </w:rPr>
        <w:t>,</w:t>
      </w:r>
      <w:r>
        <w:rPr>
          <w:rFonts w:eastAsia="Arial Unicode MS" w:cs="Liberation Serif"/>
          <w:color w:val="000000"/>
          <w:kern w:val="2"/>
          <w:szCs w:val="24"/>
          <w:lang w:eastAsia="zh-CN" w:bidi="hi-IN"/>
        </w:rPr>
        <w:t xml:space="preserve"> από το μάτι (αμφιβληστροειδοπάθεια) και τους νεφρούς (νεφρική ανεπάρκεια). Θεωρείται πως η υπέρταση οφείλεται για το 50% των θανάτων από εγκεφαλικά και καρδιαγγειακά νοσήματα παγκοσμίως</w:t>
      </w:r>
      <w:r w:rsidR="00F7158D">
        <w:rPr>
          <w:rFonts w:eastAsia="Arial Unicode MS" w:cs="Liberation Serif"/>
          <w:color w:val="000000"/>
          <w:kern w:val="2"/>
          <w:szCs w:val="24"/>
          <w:lang w:eastAsia="zh-CN" w:bidi="hi-IN"/>
        </w:rPr>
        <w:t>,</w:t>
      </w:r>
      <w:r>
        <w:rPr>
          <w:rFonts w:eastAsia="Arial Unicode MS" w:cs="Liberation Serif"/>
          <w:color w:val="000000"/>
          <w:kern w:val="2"/>
          <w:szCs w:val="24"/>
          <w:lang w:eastAsia="zh-CN" w:bidi="hi-IN"/>
        </w:rPr>
        <w:t xml:space="preserve"> ενώ ο κίνδυνος επιπλοκών αυξάνεται περισσότερο όταν συνυπάρχουν νοσήματα </w:t>
      </w:r>
      <w:r>
        <w:rPr>
          <w:rFonts w:eastAsia="Arial Unicode MS" w:cs="Liberation Serif"/>
          <w:color w:val="000000"/>
          <w:kern w:val="2"/>
          <w:szCs w:val="24"/>
          <w:lang w:eastAsia="zh-CN" w:bidi="hi-IN"/>
        </w:rPr>
        <w:lastRenderedPageBreak/>
        <w:t>που προσβάλλουν τα αγγεία, όπως ο σακχαρώδης διαβήτης, η υπερλιπιδαιμία αλλά και το κάπνισμα. Πολυκεντρικές μελέτες</w:t>
      </w:r>
      <w:r w:rsidR="00F7158D">
        <w:rPr>
          <w:rFonts w:eastAsia="Arial Unicode MS" w:cs="Liberation Serif"/>
          <w:color w:val="000000"/>
          <w:kern w:val="2"/>
          <w:szCs w:val="24"/>
          <w:lang w:eastAsia="zh-CN" w:bidi="hi-IN"/>
        </w:rPr>
        <w:t>,</w:t>
      </w:r>
      <w:r>
        <w:rPr>
          <w:rFonts w:eastAsia="Arial Unicode MS" w:cs="Liberation Serif"/>
          <w:color w:val="000000"/>
          <w:kern w:val="2"/>
          <w:szCs w:val="24"/>
          <w:lang w:eastAsia="zh-CN" w:bidi="hi-IN"/>
        </w:rPr>
        <w:t xml:space="preserve"> όπως η μελέτη Framingham, η CARDIO 2000 κ,α έχουν αποδείξει πως η  αυξημένη συστολική και διαστολική πίεση</w:t>
      </w:r>
      <w:r w:rsidR="00F7158D">
        <w:rPr>
          <w:rFonts w:eastAsia="Arial Unicode MS" w:cs="Liberation Serif"/>
          <w:color w:val="000000"/>
          <w:kern w:val="2"/>
          <w:szCs w:val="24"/>
          <w:lang w:eastAsia="zh-CN" w:bidi="hi-IN"/>
        </w:rPr>
        <w:t>,</w:t>
      </w:r>
      <w:r>
        <w:rPr>
          <w:rFonts w:eastAsia="Arial Unicode MS" w:cs="Liberation Serif"/>
          <w:color w:val="000000"/>
          <w:kern w:val="2"/>
          <w:szCs w:val="24"/>
          <w:lang w:eastAsia="zh-CN" w:bidi="hi-IN"/>
        </w:rPr>
        <w:t xml:space="preserve"> δρώντας συνδυαστικά με την αυξημένη χοληστερόλη</w:t>
      </w:r>
      <w:r w:rsidR="00F7158D">
        <w:rPr>
          <w:rFonts w:eastAsia="Arial Unicode MS" w:cs="Liberation Serif"/>
          <w:color w:val="000000"/>
          <w:kern w:val="2"/>
          <w:szCs w:val="24"/>
          <w:lang w:eastAsia="zh-CN" w:bidi="hi-IN"/>
        </w:rPr>
        <w:t>,</w:t>
      </w:r>
      <w:r>
        <w:rPr>
          <w:rFonts w:eastAsia="Arial Unicode MS" w:cs="Liberation Serif"/>
          <w:color w:val="000000"/>
          <w:kern w:val="2"/>
          <w:szCs w:val="24"/>
          <w:lang w:eastAsia="zh-CN" w:bidi="hi-IN"/>
        </w:rPr>
        <w:t xml:space="preserve"> το φύλο και το κάπνισμα</w:t>
      </w:r>
      <w:r w:rsidR="00F7158D">
        <w:rPr>
          <w:rFonts w:eastAsia="Arial Unicode MS" w:cs="Liberation Serif"/>
          <w:color w:val="000000"/>
          <w:kern w:val="2"/>
          <w:szCs w:val="24"/>
          <w:lang w:eastAsia="zh-CN" w:bidi="hi-IN"/>
        </w:rPr>
        <w:t>,</w:t>
      </w:r>
      <w:r>
        <w:rPr>
          <w:rFonts w:eastAsia="Arial Unicode MS" w:cs="Liberation Serif"/>
          <w:color w:val="000000"/>
          <w:kern w:val="2"/>
          <w:szCs w:val="24"/>
          <w:lang w:eastAsia="zh-CN" w:bidi="hi-IN"/>
        </w:rPr>
        <w:t xml:space="preserve"> οδηγούν σε αύξηση του καρδιαγγειακού κινδύνου (Πίνακας 1,</w:t>
      </w:r>
      <w:r>
        <w:t xml:space="preserve"> </w:t>
      </w:r>
      <w:r>
        <w:rPr>
          <w:rFonts w:eastAsia="Arial Unicode MS" w:cs="Liberation Serif"/>
          <w:color w:val="000000"/>
          <w:kern w:val="2"/>
          <w:szCs w:val="24"/>
          <w:lang w:eastAsia="zh-CN" w:bidi="hi-IN"/>
        </w:rPr>
        <w:t>Πηγή, ESC/ESH 2018).</w:t>
      </w:r>
    </w:p>
    <w:p w:rsidR="001B3514" w:rsidRDefault="00782E3E">
      <w:pPr>
        <w:pStyle w:val="aa"/>
        <w:keepNext/>
      </w:pPr>
      <w:bookmarkStart w:id="11" w:name="_Toc64641808"/>
      <w:r>
        <w:t xml:space="preserve">Πίνακας </w:t>
      </w:r>
      <w:r w:rsidR="00B061D7">
        <w:fldChar w:fldCharType="begin"/>
      </w:r>
      <w:r>
        <w:instrText>SEQ Πίνακας \* ARABIC</w:instrText>
      </w:r>
      <w:r w:rsidR="00B061D7">
        <w:fldChar w:fldCharType="separate"/>
      </w:r>
      <w:r w:rsidR="001D06AA">
        <w:rPr>
          <w:noProof/>
        </w:rPr>
        <w:t>1</w:t>
      </w:r>
      <w:r w:rsidR="00B061D7">
        <w:fldChar w:fldCharType="end"/>
      </w:r>
      <w:r>
        <w:t xml:space="preserve"> Κατηγορίες 10ετούς καρδιαγγειακού κινδύνου</w:t>
      </w:r>
      <w:bookmarkEnd w:id="11"/>
    </w:p>
    <w:tbl>
      <w:tblPr>
        <w:tblW w:w="9888" w:type="dxa"/>
        <w:tblInd w:w="55" w:type="dxa"/>
        <w:tblBorders>
          <w:top w:val="single" w:sz="4" w:space="0" w:color="000001"/>
          <w:left w:val="single" w:sz="4" w:space="0" w:color="000001"/>
          <w:bottom w:val="single" w:sz="4" w:space="0" w:color="000001"/>
          <w:insideH w:val="single" w:sz="4" w:space="0" w:color="000001"/>
        </w:tblBorders>
        <w:tblCellMar>
          <w:top w:w="55" w:type="dxa"/>
          <w:left w:w="50" w:type="dxa"/>
          <w:bottom w:w="55" w:type="dxa"/>
          <w:right w:w="55" w:type="dxa"/>
        </w:tblCellMar>
        <w:tblLook w:val="0000"/>
      </w:tblPr>
      <w:tblGrid>
        <w:gridCol w:w="4819"/>
        <w:gridCol w:w="5069"/>
      </w:tblGrid>
      <w:tr w:rsidR="001B3514">
        <w:tc>
          <w:tcPr>
            <w:tcW w:w="4819" w:type="dxa"/>
            <w:tcBorders>
              <w:top w:val="single" w:sz="4" w:space="0" w:color="000001"/>
              <w:left w:val="single" w:sz="4" w:space="0" w:color="000001"/>
              <w:bottom w:val="single" w:sz="4" w:space="0" w:color="000001"/>
            </w:tcBorders>
            <w:shd w:val="clear" w:color="auto" w:fill="auto"/>
          </w:tcPr>
          <w:p w:rsidR="001B3514" w:rsidRDefault="00782E3E">
            <w:pPr>
              <w:pStyle w:val="ad"/>
              <w:rPr>
                <w:rFonts w:cs="Arial Unicode MS"/>
                <w:lang w:eastAsia="zh-CN" w:bidi="hi-IN"/>
              </w:rPr>
            </w:pPr>
            <w:r>
              <w:rPr>
                <w:lang w:eastAsia="zh-CN" w:bidi="hi-IN"/>
              </w:rPr>
              <w:t>Πολύ υψηλού κινδύνου</w:t>
            </w:r>
          </w:p>
        </w:tc>
        <w:tc>
          <w:tcPr>
            <w:tcW w:w="5068" w:type="dxa"/>
            <w:tcBorders>
              <w:top w:val="single" w:sz="4" w:space="0" w:color="000001"/>
              <w:left w:val="single" w:sz="4" w:space="0" w:color="000001"/>
              <w:bottom w:val="single" w:sz="4" w:space="0" w:color="000001"/>
              <w:right w:val="single" w:sz="4" w:space="0" w:color="000001"/>
            </w:tcBorders>
            <w:shd w:val="clear" w:color="auto" w:fill="auto"/>
          </w:tcPr>
          <w:p w:rsidR="001B3514" w:rsidRDefault="00782E3E">
            <w:pPr>
              <w:pStyle w:val="ad"/>
              <w:rPr>
                <w:rFonts w:cs="Arial Unicode MS"/>
                <w:lang w:eastAsia="zh-CN" w:bidi="hi-IN"/>
              </w:rPr>
            </w:pPr>
            <w:r>
              <w:rPr>
                <w:lang w:eastAsia="zh-CN" w:bidi="hi-IN"/>
              </w:rPr>
              <w:t>Οποιαδήποτε από τις εξής περιπτώσεις:</w:t>
            </w:r>
          </w:p>
          <w:p w:rsidR="001B3514" w:rsidRDefault="00782E3E">
            <w:pPr>
              <w:pStyle w:val="ad"/>
              <w:rPr>
                <w:rFonts w:cs="Arial Unicode MS"/>
                <w:lang w:eastAsia="zh-CN" w:bidi="hi-IN"/>
              </w:rPr>
            </w:pPr>
            <w:r>
              <w:rPr>
                <w:lang w:eastAsia="zh-CN" w:bidi="hi-IN"/>
              </w:rPr>
              <w:t>κλινική καρδιαγγειακή νόσος</w:t>
            </w:r>
          </w:p>
          <w:p w:rsidR="001B3514" w:rsidRDefault="00782E3E">
            <w:pPr>
              <w:pStyle w:val="ad"/>
              <w:rPr>
                <w:rFonts w:cs="Arial Unicode MS"/>
                <w:lang w:eastAsia="zh-CN" w:bidi="hi-IN"/>
              </w:rPr>
            </w:pPr>
            <w:r>
              <w:rPr>
                <w:lang w:eastAsia="zh-CN" w:bidi="hi-IN"/>
              </w:rPr>
              <w:t>απεικονιστική καρδιαγγειακή νόσος</w:t>
            </w:r>
          </w:p>
          <w:p w:rsidR="001B3514" w:rsidRDefault="00782E3E">
            <w:pPr>
              <w:pStyle w:val="ad"/>
              <w:rPr>
                <w:rFonts w:cs="Arial Unicode MS"/>
                <w:lang w:eastAsia="zh-CN" w:bidi="hi-IN"/>
              </w:rPr>
            </w:pPr>
            <w:r>
              <w:rPr>
                <w:lang w:eastAsia="zh-CN" w:bidi="hi-IN"/>
              </w:rPr>
              <w:t>σακχαρώδης διαβήτης με βλάβη όργανο στόχο</w:t>
            </w:r>
          </w:p>
          <w:p w:rsidR="001B3514" w:rsidRDefault="00782E3E">
            <w:pPr>
              <w:pStyle w:val="ad"/>
              <w:rPr>
                <w:rFonts w:cs="Arial Unicode MS"/>
                <w:lang w:eastAsia="zh-CN" w:bidi="hi-IN"/>
              </w:rPr>
            </w:pPr>
            <w:r>
              <w:rPr>
                <w:lang w:eastAsia="zh-CN" w:bidi="hi-IN"/>
              </w:rPr>
              <w:t>σοβαρή χρόνια νεφρική νόσο(eGFR&lt;30ml/min/1,73m</w:t>
            </w:r>
            <w:r>
              <w:rPr>
                <w:vertAlign w:val="superscript"/>
                <w:lang w:eastAsia="zh-CN" w:bidi="hi-IN"/>
              </w:rPr>
              <w:t>2</w:t>
            </w:r>
            <w:r>
              <w:rPr>
                <w:lang w:eastAsia="zh-CN" w:bidi="hi-IN"/>
              </w:rPr>
              <w:t>)</w:t>
            </w:r>
          </w:p>
          <w:p w:rsidR="001B3514" w:rsidRDefault="00782E3E">
            <w:pPr>
              <w:pStyle w:val="ad"/>
              <w:rPr>
                <w:rFonts w:cs="Arial Unicode MS"/>
                <w:lang w:eastAsia="zh-CN" w:bidi="hi-IN"/>
              </w:rPr>
            </w:pPr>
            <w:r>
              <w:rPr>
                <w:lang w:eastAsia="zh-CN" w:bidi="hi-IN"/>
              </w:rPr>
              <w:t xml:space="preserve">τιμή SCORE στα δέκα έτη </w:t>
            </w:r>
            <w:r>
              <w:rPr>
                <w:u w:val="single"/>
                <w:lang w:eastAsia="zh-CN" w:bidi="hi-IN"/>
              </w:rPr>
              <w:t>&gt;</w:t>
            </w:r>
            <w:r>
              <w:rPr>
                <w:lang w:eastAsia="zh-CN" w:bidi="hi-IN"/>
              </w:rPr>
              <w:t>10%</w:t>
            </w:r>
          </w:p>
        </w:tc>
      </w:tr>
      <w:tr w:rsidR="001B3514">
        <w:tc>
          <w:tcPr>
            <w:tcW w:w="4819" w:type="dxa"/>
            <w:tcBorders>
              <w:top w:val="single" w:sz="4" w:space="0" w:color="000001"/>
              <w:left w:val="single" w:sz="4" w:space="0" w:color="000001"/>
              <w:bottom w:val="single" w:sz="4" w:space="0" w:color="000001"/>
            </w:tcBorders>
            <w:shd w:val="clear" w:color="auto" w:fill="auto"/>
          </w:tcPr>
          <w:p w:rsidR="001B3514" w:rsidRDefault="00782E3E">
            <w:pPr>
              <w:pStyle w:val="ad"/>
              <w:rPr>
                <w:rFonts w:cs="Arial Unicode MS"/>
                <w:lang w:eastAsia="zh-CN" w:bidi="hi-IN"/>
              </w:rPr>
            </w:pPr>
            <w:r>
              <w:rPr>
                <w:lang w:eastAsia="zh-CN" w:bidi="hi-IN"/>
              </w:rPr>
              <w:t>Υψηλού κινδύνου</w:t>
            </w:r>
          </w:p>
        </w:tc>
        <w:tc>
          <w:tcPr>
            <w:tcW w:w="5068" w:type="dxa"/>
            <w:tcBorders>
              <w:top w:val="single" w:sz="4" w:space="0" w:color="000001"/>
              <w:left w:val="single" w:sz="4" w:space="0" w:color="000001"/>
              <w:bottom w:val="single" w:sz="4" w:space="0" w:color="000001"/>
              <w:right w:val="single" w:sz="4" w:space="0" w:color="000001"/>
            </w:tcBorders>
            <w:shd w:val="clear" w:color="auto" w:fill="auto"/>
          </w:tcPr>
          <w:p w:rsidR="001B3514" w:rsidRDefault="00782E3E">
            <w:pPr>
              <w:pStyle w:val="ad"/>
              <w:rPr>
                <w:rFonts w:cs="Arial Unicode MS"/>
                <w:lang w:eastAsia="zh-CN" w:bidi="hi-IN"/>
              </w:rPr>
            </w:pPr>
            <w:r>
              <w:rPr>
                <w:lang w:eastAsia="zh-CN" w:bidi="hi-IN"/>
              </w:rPr>
              <w:t>Οποιαδήποτε από τις εξής περιπτώσεις:</w:t>
            </w:r>
          </w:p>
          <w:p w:rsidR="001B3514" w:rsidRDefault="00782E3E">
            <w:pPr>
              <w:pStyle w:val="ad"/>
              <w:rPr>
                <w:rFonts w:cs="Arial Unicode MS"/>
                <w:lang w:eastAsia="zh-CN" w:bidi="hi-IN"/>
              </w:rPr>
            </w:pPr>
            <w:r>
              <w:rPr>
                <w:lang w:eastAsia="zh-CN" w:bidi="hi-IN"/>
              </w:rPr>
              <w:t>σημαντική αύξηση ενός μεμονωμένου παράγοντα κινδύνου(χολ.&gt;310mg/dl, σταδίου 3 υπέρταση)</w:t>
            </w:r>
          </w:p>
          <w:p w:rsidR="001B3514" w:rsidRDefault="00782E3E">
            <w:pPr>
              <w:pStyle w:val="ad"/>
              <w:rPr>
                <w:rFonts w:cs="Arial Unicode MS"/>
                <w:lang w:eastAsia="zh-CN" w:bidi="hi-IN"/>
              </w:rPr>
            </w:pPr>
            <w:r>
              <w:rPr>
                <w:lang w:eastAsia="zh-CN" w:bidi="hi-IN"/>
              </w:rPr>
              <w:t>οι περισσότεροι ασθενείς με ΣΔ</w:t>
            </w:r>
          </w:p>
          <w:p w:rsidR="001B3514" w:rsidRDefault="00782E3E">
            <w:pPr>
              <w:pStyle w:val="ad"/>
              <w:rPr>
                <w:rFonts w:cs="Arial Unicode MS"/>
                <w:lang w:eastAsia="zh-CN" w:bidi="hi-IN"/>
              </w:rPr>
            </w:pPr>
            <w:r>
              <w:rPr>
                <w:lang w:eastAsia="zh-CN" w:bidi="hi-IN"/>
              </w:rPr>
              <w:t>υπερτασική υπερτροφία αριστερής κοιλίας</w:t>
            </w:r>
          </w:p>
          <w:p w:rsidR="001B3514" w:rsidRDefault="00782E3E">
            <w:pPr>
              <w:pStyle w:val="ad"/>
              <w:rPr>
                <w:rFonts w:cs="Arial Unicode MS"/>
                <w:lang w:eastAsia="zh-CN" w:bidi="hi-IN"/>
              </w:rPr>
            </w:pPr>
            <w:r>
              <w:rPr>
                <w:lang w:eastAsia="zh-CN" w:bidi="hi-IN"/>
              </w:rPr>
              <w:t>μέτρια νεφρική νόσος(eGFR 30-59ml/min/1,73m</w:t>
            </w:r>
            <w:r>
              <w:rPr>
                <w:vertAlign w:val="superscript"/>
                <w:lang w:eastAsia="zh-CN" w:bidi="hi-IN"/>
              </w:rPr>
              <w:t>2</w:t>
            </w:r>
            <w:r>
              <w:rPr>
                <w:lang w:eastAsia="zh-CN" w:bidi="hi-IN"/>
              </w:rPr>
              <w:t>)</w:t>
            </w:r>
          </w:p>
          <w:p w:rsidR="001B3514" w:rsidRDefault="00782E3E">
            <w:pPr>
              <w:pStyle w:val="ad"/>
              <w:rPr>
                <w:rFonts w:cs="Arial Unicode MS"/>
                <w:lang w:eastAsia="zh-CN" w:bidi="hi-IN"/>
              </w:rPr>
            </w:pPr>
            <w:r>
              <w:rPr>
                <w:lang w:eastAsia="zh-CN" w:bidi="hi-IN"/>
              </w:rPr>
              <w:t>τιμή SCORE στα 10 έτη 5-10%</w:t>
            </w:r>
          </w:p>
        </w:tc>
      </w:tr>
      <w:tr w:rsidR="001B3514">
        <w:tc>
          <w:tcPr>
            <w:tcW w:w="4819" w:type="dxa"/>
            <w:tcBorders>
              <w:top w:val="single" w:sz="4" w:space="0" w:color="000001"/>
              <w:left w:val="single" w:sz="4" w:space="0" w:color="000001"/>
              <w:bottom w:val="single" w:sz="4" w:space="0" w:color="000001"/>
            </w:tcBorders>
            <w:shd w:val="clear" w:color="auto" w:fill="auto"/>
          </w:tcPr>
          <w:p w:rsidR="001B3514" w:rsidRDefault="00782E3E">
            <w:pPr>
              <w:pStyle w:val="ad"/>
              <w:rPr>
                <w:rFonts w:cs="Arial Unicode MS"/>
                <w:lang w:eastAsia="zh-CN" w:bidi="hi-IN"/>
              </w:rPr>
            </w:pPr>
            <w:r>
              <w:rPr>
                <w:lang w:eastAsia="zh-CN" w:bidi="hi-IN"/>
              </w:rPr>
              <w:t>Μέτριου κινδύνου</w:t>
            </w:r>
          </w:p>
        </w:tc>
        <w:tc>
          <w:tcPr>
            <w:tcW w:w="5068" w:type="dxa"/>
            <w:tcBorders>
              <w:top w:val="single" w:sz="4" w:space="0" w:color="000001"/>
              <w:left w:val="single" w:sz="4" w:space="0" w:color="000001"/>
              <w:bottom w:val="single" w:sz="4" w:space="0" w:color="000001"/>
              <w:right w:val="single" w:sz="4" w:space="0" w:color="000001"/>
            </w:tcBorders>
            <w:shd w:val="clear" w:color="auto" w:fill="auto"/>
          </w:tcPr>
          <w:p w:rsidR="001B3514" w:rsidRDefault="00782E3E">
            <w:pPr>
              <w:pStyle w:val="ad"/>
              <w:rPr>
                <w:rFonts w:cs="Arial Unicode MS"/>
                <w:lang w:eastAsia="zh-CN" w:bidi="hi-IN"/>
              </w:rPr>
            </w:pPr>
            <w:r>
              <w:rPr>
                <w:lang w:eastAsia="zh-CN" w:bidi="hi-IN"/>
              </w:rPr>
              <w:t>Οποιαδήποτε από τις εξής περιπτώσεις:</w:t>
            </w:r>
          </w:p>
          <w:p w:rsidR="001B3514" w:rsidRDefault="00782E3E">
            <w:pPr>
              <w:pStyle w:val="ad"/>
              <w:rPr>
                <w:rFonts w:cs="Arial Unicode MS"/>
                <w:lang w:eastAsia="zh-CN" w:bidi="hi-IN"/>
              </w:rPr>
            </w:pPr>
            <w:r>
              <w:rPr>
                <w:lang w:eastAsia="zh-CN" w:bidi="hi-IN"/>
              </w:rPr>
              <w:t>τιμή SCORE στα 10 έτη 1-&lt;5%</w:t>
            </w:r>
          </w:p>
          <w:p w:rsidR="001B3514" w:rsidRDefault="00782E3E">
            <w:pPr>
              <w:pStyle w:val="ad"/>
              <w:rPr>
                <w:rFonts w:cs="Arial Unicode MS"/>
                <w:lang w:eastAsia="zh-CN" w:bidi="hi-IN"/>
              </w:rPr>
            </w:pPr>
            <w:r>
              <w:rPr>
                <w:lang w:eastAsia="zh-CN" w:bidi="hi-IN"/>
              </w:rPr>
              <w:t>υπέρταση σταδίου 2</w:t>
            </w:r>
          </w:p>
          <w:p w:rsidR="001B3514" w:rsidRDefault="00782E3E">
            <w:pPr>
              <w:pStyle w:val="ad"/>
              <w:rPr>
                <w:rFonts w:cs="Arial Unicode MS"/>
                <w:lang w:eastAsia="zh-CN" w:bidi="hi-IN"/>
              </w:rPr>
            </w:pPr>
            <w:r>
              <w:rPr>
                <w:lang w:eastAsia="zh-CN" w:bidi="hi-IN"/>
              </w:rPr>
              <w:t>πολλά μεσήλικα άτομα</w:t>
            </w:r>
          </w:p>
        </w:tc>
      </w:tr>
      <w:tr w:rsidR="001B3514">
        <w:tc>
          <w:tcPr>
            <w:tcW w:w="4819" w:type="dxa"/>
            <w:tcBorders>
              <w:top w:val="single" w:sz="4" w:space="0" w:color="000001"/>
              <w:left w:val="single" w:sz="4" w:space="0" w:color="000001"/>
              <w:bottom w:val="single" w:sz="4" w:space="0" w:color="000001"/>
            </w:tcBorders>
            <w:shd w:val="clear" w:color="auto" w:fill="auto"/>
          </w:tcPr>
          <w:p w:rsidR="001B3514" w:rsidRDefault="00782E3E">
            <w:pPr>
              <w:pStyle w:val="ad"/>
              <w:rPr>
                <w:rFonts w:cs="Arial Unicode MS"/>
                <w:lang w:eastAsia="zh-CN" w:bidi="hi-IN"/>
              </w:rPr>
            </w:pPr>
            <w:r>
              <w:rPr>
                <w:lang w:eastAsia="zh-CN" w:bidi="hi-IN"/>
              </w:rPr>
              <w:t>Χαμηλού κινδύνου</w:t>
            </w:r>
          </w:p>
        </w:tc>
        <w:tc>
          <w:tcPr>
            <w:tcW w:w="5068" w:type="dxa"/>
            <w:tcBorders>
              <w:top w:val="single" w:sz="4" w:space="0" w:color="000001"/>
              <w:left w:val="single" w:sz="4" w:space="0" w:color="000001"/>
              <w:bottom w:val="single" w:sz="4" w:space="0" w:color="000001"/>
              <w:right w:val="single" w:sz="4" w:space="0" w:color="000001"/>
            </w:tcBorders>
            <w:shd w:val="clear" w:color="auto" w:fill="auto"/>
          </w:tcPr>
          <w:p w:rsidR="001B3514" w:rsidRDefault="00782E3E">
            <w:pPr>
              <w:pStyle w:val="ad"/>
              <w:rPr>
                <w:rFonts w:cs="Arial Unicode MS"/>
                <w:lang w:eastAsia="zh-CN" w:bidi="hi-IN"/>
              </w:rPr>
            </w:pPr>
            <w:r>
              <w:rPr>
                <w:lang w:eastAsia="zh-CN" w:bidi="hi-IN"/>
              </w:rPr>
              <w:t>Τιμή SCORE στα δέκα έτη&lt;1%</w:t>
            </w:r>
          </w:p>
        </w:tc>
      </w:tr>
    </w:tbl>
    <w:p w:rsidR="001B3514" w:rsidRDefault="001B3514">
      <w:pPr>
        <w:suppressAutoHyphens/>
        <w:spacing w:after="140"/>
        <w:rPr>
          <w:rFonts w:eastAsia="Arial Unicode MS" w:cs="Liberation Serif"/>
          <w:color w:val="000000"/>
          <w:kern w:val="2"/>
          <w:szCs w:val="24"/>
          <w:lang w:eastAsia="zh-CN" w:bidi="hi-IN"/>
        </w:rPr>
      </w:pPr>
    </w:p>
    <w:p w:rsidR="001B3514" w:rsidRDefault="00782E3E">
      <w:pPr>
        <w:suppressAutoHyphens/>
        <w:spacing w:after="140"/>
      </w:pPr>
      <w:r>
        <w:rPr>
          <w:rFonts w:eastAsia="Arial Unicode MS" w:cs="Liberation Serif"/>
          <w:color w:val="000000"/>
          <w:kern w:val="2"/>
          <w:szCs w:val="24"/>
          <w:lang w:eastAsia="zh-CN" w:bidi="hi-IN"/>
        </w:rPr>
        <w:t>Το φύλο και η ηλικία φαίνεται πως παίζουν καθοριστικό ρόλο στην εμφάνιση υπερτασικής νόσου. Επιδημιολογικές μελέτες αλλά και μεταναλύσεις προγενέστερων μελετών έχουν  δείξει πως μέχρι το 2000 είχαν αναπτύξει υπέρταση 972 εκατομμύρια ενήλικες σε όλον τον κόσμο με τους άνδρες να  φτάνουν σε ποσοστό το 26,6 % των ανδρών κάθε ηλικίας και αντίστοιχα οι γυναίκες το 26,1% των γυναικών (Πίτσαβος</w:t>
      </w:r>
      <w:r w:rsidR="00F7158D" w:rsidRPr="00F7158D">
        <w:rPr>
          <w:rFonts w:eastAsia="Arial Unicode MS" w:cs="Liberation Serif"/>
          <w:color w:val="000000"/>
          <w:kern w:val="2"/>
          <w:szCs w:val="24"/>
          <w:lang w:eastAsia="zh-CN" w:bidi="hi-IN"/>
        </w:rPr>
        <w:t xml:space="preserve"> &amp;</w:t>
      </w:r>
      <w:r>
        <w:rPr>
          <w:rFonts w:eastAsia="Arial Unicode MS" w:cs="Liberation Serif"/>
          <w:color w:val="000000"/>
          <w:kern w:val="2"/>
          <w:szCs w:val="24"/>
          <w:lang w:eastAsia="zh-CN" w:bidi="hi-IN"/>
        </w:rPr>
        <w:t xml:space="preserve"> Μεταξά</w:t>
      </w:r>
      <w:r w:rsidR="00F7158D">
        <w:rPr>
          <w:rFonts w:eastAsia="Arial Unicode MS" w:cs="Liberation Serif"/>
          <w:color w:val="000000"/>
          <w:kern w:val="2"/>
          <w:szCs w:val="24"/>
          <w:lang w:eastAsia="zh-CN" w:bidi="hi-IN"/>
        </w:rPr>
        <w:t>,</w:t>
      </w:r>
      <w:r w:rsidR="00F7158D" w:rsidRPr="00F7158D">
        <w:rPr>
          <w:rFonts w:eastAsia="Arial Unicode MS" w:cs="Liberation Serif"/>
          <w:color w:val="000000"/>
          <w:kern w:val="2"/>
          <w:szCs w:val="24"/>
          <w:lang w:eastAsia="zh-CN" w:bidi="hi-IN"/>
        </w:rPr>
        <w:t xml:space="preserve"> </w:t>
      </w:r>
      <w:r>
        <w:rPr>
          <w:rFonts w:eastAsia="Arial Unicode MS" w:cs="Liberation Serif"/>
          <w:color w:val="000000"/>
          <w:kern w:val="2"/>
          <w:szCs w:val="24"/>
          <w:lang w:eastAsia="zh-CN" w:bidi="hi-IN"/>
        </w:rPr>
        <w:t>2002). Μέχρι το 2025 εκτιμάται ότι θα παρατηρηθεί αύξηση του</w:t>
      </w:r>
      <w:r>
        <w:rPr>
          <w:rFonts w:eastAsia="Arial Unicode MS" w:cs="Times New Roman"/>
          <w:color w:val="000000"/>
          <w:kern w:val="2"/>
          <w:szCs w:val="24"/>
          <w:lang w:eastAsia="zh-CN" w:bidi="hi-IN"/>
        </w:rPr>
        <w:t xml:space="preserve"> </w:t>
      </w:r>
      <w:r>
        <w:rPr>
          <w:rFonts w:eastAsia="Arial Unicode MS" w:cs="Liberation Serif"/>
          <w:color w:val="000000"/>
          <w:kern w:val="2"/>
          <w:szCs w:val="24"/>
          <w:lang w:eastAsia="zh-CN" w:bidi="hi-IN"/>
        </w:rPr>
        <w:t>υπερτασικού πληθυσμού κατά 60% η οποία σε απόλυτο αριθμό αντιστοιχεί σε 1,5 δισεκατομμύρια άτομα.</w:t>
      </w:r>
    </w:p>
    <w:p w:rsidR="001B3514" w:rsidRDefault="001B3514">
      <w:pPr>
        <w:suppressAutoHyphens/>
        <w:spacing w:after="140"/>
        <w:rPr>
          <w:rFonts w:eastAsia="Arial Unicode MS" w:cs="Liberation Serif"/>
          <w:b/>
          <w:bCs/>
          <w:color w:val="404040"/>
          <w:kern w:val="2"/>
          <w:szCs w:val="24"/>
          <w:lang w:eastAsia="zh-CN" w:bidi="hi-IN"/>
        </w:rPr>
      </w:pPr>
    </w:p>
    <w:p w:rsidR="001B3514" w:rsidRDefault="00782E3E">
      <w:pPr>
        <w:pStyle w:val="2"/>
        <w:rPr>
          <w:lang w:eastAsia="zh-CN" w:bidi="hi-IN"/>
        </w:rPr>
      </w:pPr>
      <w:bookmarkStart w:id="12" w:name="_Toc62205422"/>
      <w:bookmarkStart w:id="13" w:name="_Toc64641750"/>
      <w:r>
        <w:rPr>
          <w:lang w:eastAsia="zh-CN" w:bidi="hi-IN"/>
        </w:rPr>
        <w:lastRenderedPageBreak/>
        <w:t>1.3 Δεδομένα από τον ελλαδικό χώρο</w:t>
      </w:r>
      <w:bookmarkEnd w:id="12"/>
      <w:bookmarkEnd w:id="13"/>
    </w:p>
    <w:p w:rsidR="001B3514" w:rsidRDefault="00782E3E">
      <w:pPr>
        <w:suppressAutoHyphens/>
        <w:spacing w:after="140"/>
        <w:rPr>
          <w:rFonts w:eastAsia="Arial Unicode MS" w:cs="Liberation Serif"/>
          <w:color w:val="000000"/>
          <w:kern w:val="2"/>
          <w:szCs w:val="24"/>
          <w:lang w:eastAsia="zh-CN" w:bidi="hi-IN"/>
        </w:rPr>
      </w:pPr>
      <w:r>
        <w:rPr>
          <w:rFonts w:eastAsia="Arial Unicode MS" w:cs="Liberation Serif"/>
          <w:color w:val="000000"/>
          <w:kern w:val="2"/>
          <w:szCs w:val="24"/>
          <w:lang w:eastAsia="zh-CN" w:bidi="hi-IN"/>
        </w:rPr>
        <w:t>Σύμφωνα με στοιχεία της ΕΛΣΤΑΤ για το έτος 2014, ένας στους πέντε ενηλίκους (20,9%) του ελληνικού πληθυσμού ηλικίας άνω των 15 ετών δήλωσε ότι πάσχει από υπέρταση. Το ποσοστό των αντρών ανέρχεται στο 43, 6% (4 στους 10 ) και των γυναικών στο 56,4% (6 στις 10). Τρεις στους δέκα υπερτασικούς  ηλικίας 55-64 ετών και ένας στους δύο ηλικίας 65-74 ετών δηλώνουν πως πάσχουν από υπέρταση. (ΕΛΣΤΑΤ 2016 ). Το ποσοστό αυτό καταγράφεται αυξημένο κατά 3,5% σε σχέση με το 2009 (20,2%). Ο επιπολασμός της νόσου  εμφανίζει μεγάλες ανισότητες ως προς το επίπεδο εκπαίδευσης, καθώς άτομα με το κατώτερο επίπεδο εκπαίδευσης έχουν τρεις φορές μεγαλύτερη πιθανότητα να νοσήσουν(OECD, 2017).</w:t>
      </w:r>
    </w:p>
    <w:p w:rsidR="001B3514" w:rsidRDefault="001B3514">
      <w:pPr>
        <w:suppressAutoHyphens/>
        <w:spacing w:after="140"/>
        <w:rPr>
          <w:rFonts w:eastAsia="Arial Unicode MS" w:cs="Arial Unicode MS"/>
          <w:kern w:val="2"/>
          <w:szCs w:val="24"/>
          <w:lang w:eastAsia="zh-CN" w:bidi="hi-IN"/>
        </w:rPr>
      </w:pPr>
    </w:p>
    <w:p w:rsidR="001B3514" w:rsidRDefault="00782E3E">
      <w:pPr>
        <w:pStyle w:val="2"/>
        <w:rPr>
          <w:lang w:eastAsia="zh-CN" w:bidi="hi-IN"/>
        </w:rPr>
      </w:pPr>
      <w:bookmarkStart w:id="14" w:name="_Toc62205423"/>
      <w:bookmarkStart w:id="15" w:name="_Toc64641751"/>
      <w:r>
        <w:rPr>
          <w:lang w:eastAsia="zh-CN" w:bidi="hi-IN"/>
        </w:rPr>
        <w:t xml:space="preserve">1.4 Ταξινόμηση της αρτηριακής πίεσης και ορισμοί των σταδίων υπέρτασης </w:t>
      </w:r>
      <w:r>
        <w:rPr>
          <w:vertAlign w:val="superscript"/>
          <w:lang w:eastAsia="zh-CN" w:bidi="hi-IN"/>
        </w:rPr>
        <w:t>β</w:t>
      </w:r>
      <w:r>
        <w:rPr>
          <w:lang w:eastAsia="zh-CN" w:bidi="hi-IN"/>
        </w:rPr>
        <w:t>(ESC 2018)</w:t>
      </w:r>
      <w:bookmarkEnd w:id="14"/>
      <w:bookmarkEnd w:id="15"/>
      <w:r>
        <w:rPr>
          <w:lang w:eastAsia="zh-CN" w:bidi="hi-IN"/>
        </w:rPr>
        <w:t xml:space="preserve"> </w:t>
      </w:r>
      <w:r>
        <w:rPr>
          <w:rFonts w:cs="Times New Roman"/>
          <w:lang w:eastAsia="zh-CN" w:bidi="hi-IN"/>
        </w:rPr>
        <w:t xml:space="preserve"> </w:t>
      </w:r>
    </w:p>
    <w:p w:rsidR="001B3514" w:rsidRDefault="00782E3E">
      <w:pPr>
        <w:rPr>
          <w:lang w:eastAsia="zh-CN" w:bidi="hi-IN"/>
        </w:rPr>
      </w:pPr>
      <w:r>
        <w:rPr>
          <w:lang w:eastAsia="zh-CN" w:bidi="hi-IN"/>
        </w:rPr>
        <w:t xml:space="preserve">Η αρτηριακή πίεση, με βάση τις κατευθυντήριες οδηγίες της Ευρωπαϊκής Καρδιολογικής Εταιρείας και της Ευρωπαϊκής Εταιρείας Υπέρτασης ταξινομείται ως: </w:t>
      </w:r>
    </w:p>
    <w:p w:rsidR="001B3514" w:rsidRDefault="00782E3E">
      <w:pPr>
        <w:suppressAutoHyphens/>
        <w:spacing w:after="140" w:line="276" w:lineRule="auto"/>
        <w:rPr>
          <w:rFonts w:eastAsia="Arial Unicode MS" w:cs="Liberation Serif"/>
          <w:kern w:val="2"/>
          <w:szCs w:val="24"/>
          <w:lang w:eastAsia="zh-CN" w:bidi="hi-IN"/>
        </w:rPr>
      </w:pPr>
      <w:r>
        <w:rPr>
          <w:rFonts w:eastAsia="Arial Unicode MS" w:cs="Liberation Serif"/>
          <w:kern w:val="2"/>
          <w:szCs w:val="24"/>
          <w:vertAlign w:val="superscript"/>
          <w:lang w:eastAsia="zh-CN" w:bidi="hi-IN"/>
        </w:rPr>
        <w:t>α</w:t>
      </w:r>
      <w:r>
        <w:rPr>
          <w:rFonts w:eastAsia="Arial Unicode MS" w:cs="Liberation Serif"/>
          <w:kern w:val="2"/>
          <w:szCs w:val="24"/>
          <w:lang w:eastAsia="zh-CN" w:bidi="hi-IN"/>
        </w:rPr>
        <w:t xml:space="preserve"> Η κατηγορία ΑΠ ορίζεται σύμφωνα με την ΑΠ ιατρείου σε καθιστή θέση και με βάση το υψηλότερο επίπεδο ΑΠ, είτε πρόκειται για τη συστολική είτε για τη διαστολική.</w:t>
      </w:r>
    </w:p>
    <w:p w:rsidR="001B3514" w:rsidRDefault="00782E3E">
      <w:pPr>
        <w:suppressAutoHyphens/>
        <w:spacing w:after="140" w:line="276" w:lineRule="auto"/>
        <w:rPr>
          <w:rFonts w:eastAsia="Arial Unicode MS" w:cs="Arial Unicode MS"/>
          <w:kern w:val="2"/>
          <w:szCs w:val="24"/>
          <w:lang w:eastAsia="zh-CN" w:bidi="hi-IN"/>
        </w:rPr>
      </w:pPr>
      <w:r>
        <w:rPr>
          <w:rFonts w:eastAsia="Arial Unicode MS" w:cs="Liberation Serif"/>
          <w:kern w:val="2"/>
          <w:szCs w:val="24"/>
          <w:vertAlign w:val="superscript"/>
          <w:lang w:eastAsia="zh-CN" w:bidi="hi-IN"/>
        </w:rPr>
        <w:t>β</w:t>
      </w:r>
      <w:r>
        <w:rPr>
          <w:rFonts w:eastAsia="Arial Unicode MS" w:cs="Liberation Serif"/>
          <w:kern w:val="2"/>
          <w:szCs w:val="24"/>
          <w:lang w:eastAsia="zh-CN" w:bidi="hi-IN"/>
        </w:rPr>
        <w:t xml:space="preserve"> Η μεμονωμένη συστολική υπέρταση διακρίνεται σε σταδίου 1, 2 ή 3 ανάλογα με τις τιμές ΣΑΠ στα υποδεικνυόμενα εύρη. Η ίδια ταξινόμηση χρησιμοποιείται για όλες τις ηλικίες από 16 ετών και άνω. (Πίνακας 2</w:t>
      </w:r>
      <w:r w:rsidR="00F7158D">
        <w:rPr>
          <w:rFonts w:eastAsia="Arial Unicode MS" w:cs="Liberation Serif"/>
          <w:kern w:val="2"/>
          <w:szCs w:val="24"/>
          <w:lang w:eastAsia="zh-CN" w:bidi="hi-IN"/>
        </w:rPr>
        <w:t>,</w:t>
      </w:r>
      <w:r>
        <w:rPr>
          <w:rFonts w:eastAsia="Arial Unicode MS" w:cs="Liberation Serif"/>
          <w:kern w:val="2"/>
          <w:szCs w:val="24"/>
          <w:lang w:eastAsia="zh-CN" w:bidi="hi-IN"/>
        </w:rPr>
        <w:t xml:space="preserve"> Αναδημοσιευμένος από κατευθυντήριες οδηγίες ESC 2018).</w:t>
      </w:r>
    </w:p>
    <w:p w:rsidR="001B3514" w:rsidRDefault="001B3514">
      <w:pPr>
        <w:rPr>
          <w:rFonts w:cs="Arial Unicode MS"/>
          <w:lang w:eastAsia="zh-CN" w:bidi="hi-IN"/>
        </w:rPr>
      </w:pPr>
    </w:p>
    <w:p w:rsidR="001B3514" w:rsidRDefault="00782E3E">
      <w:pPr>
        <w:pStyle w:val="aa"/>
        <w:keepNext/>
      </w:pPr>
      <w:bookmarkStart w:id="16" w:name="_Toc64641809"/>
      <w:r>
        <w:t xml:space="preserve">Πίνακας </w:t>
      </w:r>
      <w:r w:rsidR="00B061D7">
        <w:fldChar w:fldCharType="begin"/>
      </w:r>
      <w:r>
        <w:instrText>SEQ Πίνακας \* ARABIC</w:instrText>
      </w:r>
      <w:r w:rsidR="00B061D7">
        <w:fldChar w:fldCharType="separate"/>
      </w:r>
      <w:r w:rsidR="001D06AA">
        <w:rPr>
          <w:noProof/>
        </w:rPr>
        <w:t>2</w:t>
      </w:r>
      <w:r w:rsidR="00B061D7">
        <w:fldChar w:fldCharType="end"/>
      </w:r>
      <w:r>
        <w:t xml:space="preserve"> Ταξινόμηση Αρτηριακής Πίεσης</w:t>
      </w:r>
      <w:bookmarkEnd w:id="16"/>
    </w:p>
    <w:tbl>
      <w:tblPr>
        <w:tblW w:w="9918" w:type="dxa"/>
        <w:tblInd w:w="55" w:type="dxa"/>
        <w:tblBorders>
          <w:top w:val="single" w:sz="4" w:space="0" w:color="000001"/>
          <w:left w:val="single" w:sz="4" w:space="0" w:color="000001"/>
          <w:bottom w:val="single" w:sz="4" w:space="0" w:color="000001"/>
          <w:insideH w:val="single" w:sz="4" w:space="0" w:color="000001"/>
        </w:tblBorders>
        <w:tblCellMar>
          <w:top w:w="55" w:type="dxa"/>
          <w:left w:w="50" w:type="dxa"/>
          <w:bottom w:w="55" w:type="dxa"/>
          <w:right w:w="55" w:type="dxa"/>
        </w:tblCellMar>
        <w:tblLook w:val="0000"/>
      </w:tblPr>
      <w:tblGrid>
        <w:gridCol w:w="2410"/>
        <w:gridCol w:w="2410"/>
        <w:gridCol w:w="2409"/>
        <w:gridCol w:w="2689"/>
      </w:tblGrid>
      <w:tr w:rsidR="001B3514">
        <w:tc>
          <w:tcPr>
            <w:tcW w:w="2409" w:type="dxa"/>
            <w:tcBorders>
              <w:top w:val="single" w:sz="4" w:space="0" w:color="000001"/>
              <w:left w:val="single" w:sz="4" w:space="0" w:color="000001"/>
              <w:bottom w:val="single" w:sz="4" w:space="0" w:color="000001"/>
            </w:tcBorders>
            <w:shd w:val="clear" w:color="auto" w:fill="auto"/>
          </w:tcPr>
          <w:p w:rsidR="001B3514" w:rsidRDefault="00782E3E">
            <w:pPr>
              <w:suppressLineNumbers/>
              <w:suppressAutoHyphens/>
              <w:rPr>
                <w:rFonts w:eastAsia="Arial Unicode MS" w:cs="Arial Unicode MS"/>
                <w:kern w:val="2"/>
                <w:szCs w:val="24"/>
                <w:lang w:eastAsia="zh-CN" w:bidi="hi-IN"/>
              </w:rPr>
            </w:pPr>
            <w:r>
              <w:rPr>
                <w:rFonts w:eastAsia="Arial Unicode MS" w:cs="Liberation Serif"/>
                <w:b/>
                <w:bCs/>
                <w:color w:val="000000"/>
                <w:kern w:val="2"/>
                <w:szCs w:val="24"/>
                <w:lang w:eastAsia="zh-CN" w:bidi="hi-IN"/>
              </w:rPr>
              <w:t>Κατηγορία</w:t>
            </w:r>
            <w:r>
              <w:rPr>
                <w:rFonts w:eastAsia="Arial Unicode MS" w:cs="Liberation Serif"/>
                <w:b/>
                <w:bCs/>
                <w:color w:val="000000"/>
                <w:kern w:val="2"/>
                <w:szCs w:val="24"/>
                <w:vertAlign w:val="superscript"/>
                <w:lang w:eastAsia="zh-CN" w:bidi="hi-IN"/>
              </w:rPr>
              <w:t>α</w:t>
            </w:r>
          </w:p>
        </w:tc>
        <w:tc>
          <w:tcPr>
            <w:tcW w:w="2410" w:type="dxa"/>
            <w:tcBorders>
              <w:top w:val="single" w:sz="4" w:space="0" w:color="000001"/>
              <w:left w:val="single" w:sz="4" w:space="0" w:color="000001"/>
              <w:bottom w:val="single" w:sz="4" w:space="0" w:color="000001"/>
            </w:tcBorders>
            <w:shd w:val="clear" w:color="auto" w:fill="auto"/>
          </w:tcPr>
          <w:p w:rsidR="001B3514" w:rsidRDefault="00782E3E">
            <w:pPr>
              <w:suppressLineNumbers/>
              <w:suppressAutoHyphens/>
              <w:rPr>
                <w:rFonts w:eastAsia="Arial Unicode MS" w:cs="Arial Unicode MS"/>
                <w:kern w:val="2"/>
                <w:szCs w:val="24"/>
                <w:lang w:eastAsia="zh-CN" w:bidi="hi-IN"/>
              </w:rPr>
            </w:pPr>
            <w:r>
              <w:rPr>
                <w:rFonts w:eastAsia="Arial Unicode MS" w:cs="Liberation Serif"/>
                <w:b/>
                <w:bCs/>
                <w:color w:val="000000"/>
                <w:kern w:val="2"/>
                <w:szCs w:val="24"/>
                <w:lang w:eastAsia="zh-CN" w:bidi="hi-IN"/>
              </w:rPr>
              <w:t>Συστολική (mmHg)</w:t>
            </w:r>
          </w:p>
        </w:tc>
        <w:tc>
          <w:tcPr>
            <w:tcW w:w="2409" w:type="dxa"/>
            <w:tcBorders>
              <w:top w:val="single" w:sz="4" w:space="0" w:color="000001"/>
              <w:left w:val="single" w:sz="4" w:space="0" w:color="000001"/>
              <w:bottom w:val="single" w:sz="4" w:space="0" w:color="000001"/>
            </w:tcBorders>
            <w:shd w:val="clear" w:color="auto" w:fill="auto"/>
          </w:tcPr>
          <w:p w:rsidR="001B3514" w:rsidRDefault="001B3514">
            <w:pPr>
              <w:suppressLineNumbers/>
              <w:suppressAutoHyphens/>
              <w:snapToGrid w:val="0"/>
              <w:rPr>
                <w:rFonts w:eastAsia="Arial Unicode MS" w:cs="Liberation Serif"/>
                <w:color w:val="000000"/>
                <w:kern w:val="2"/>
                <w:szCs w:val="24"/>
                <w:lang w:eastAsia="zh-CN" w:bidi="hi-IN"/>
              </w:rPr>
            </w:pPr>
          </w:p>
        </w:tc>
        <w:tc>
          <w:tcPr>
            <w:tcW w:w="2689" w:type="dxa"/>
            <w:tcBorders>
              <w:top w:val="single" w:sz="4" w:space="0" w:color="000001"/>
              <w:left w:val="single" w:sz="4" w:space="0" w:color="000001"/>
              <w:bottom w:val="single" w:sz="4" w:space="0" w:color="000001"/>
              <w:right w:val="single" w:sz="4" w:space="0" w:color="000001"/>
            </w:tcBorders>
            <w:shd w:val="clear" w:color="auto" w:fill="auto"/>
          </w:tcPr>
          <w:p w:rsidR="001B3514" w:rsidRDefault="00782E3E">
            <w:pPr>
              <w:suppressLineNumbers/>
              <w:suppressAutoHyphens/>
              <w:rPr>
                <w:rFonts w:eastAsia="Arial Unicode MS" w:cs="Arial Unicode MS"/>
                <w:kern w:val="2"/>
                <w:szCs w:val="24"/>
                <w:lang w:eastAsia="zh-CN" w:bidi="hi-IN"/>
              </w:rPr>
            </w:pPr>
            <w:r>
              <w:rPr>
                <w:rFonts w:eastAsia="Arial Unicode MS" w:cs="Liberation Serif"/>
                <w:b/>
                <w:bCs/>
                <w:color w:val="000000"/>
                <w:kern w:val="2"/>
                <w:szCs w:val="24"/>
                <w:lang w:eastAsia="zh-CN" w:bidi="hi-IN"/>
              </w:rPr>
              <w:t>Διαστολική (mmHg)</w:t>
            </w:r>
          </w:p>
        </w:tc>
      </w:tr>
      <w:tr w:rsidR="001B3514">
        <w:tc>
          <w:tcPr>
            <w:tcW w:w="2409" w:type="dxa"/>
            <w:tcBorders>
              <w:top w:val="single" w:sz="4" w:space="0" w:color="000001"/>
              <w:left w:val="single" w:sz="4" w:space="0" w:color="000001"/>
              <w:bottom w:val="single" w:sz="4" w:space="0" w:color="000001"/>
            </w:tcBorders>
            <w:shd w:val="clear" w:color="auto" w:fill="auto"/>
          </w:tcPr>
          <w:p w:rsidR="001B3514" w:rsidRDefault="00782E3E">
            <w:pPr>
              <w:suppressLineNumbers/>
              <w:suppressAutoHyphens/>
              <w:rPr>
                <w:rFonts w:eastAsia="Arial Unicode MS" w:cs="Arial Unicode MS"/>
                <w:kern w:val="2"/>
                <w:szCs w:val="24"/>
                <w:lang w:eastAsia="zh-CN" w:bidi="hi-IN"/>
              </w:rPr>
            </w:pPr>
            <w:r>
              <w:rPr>
                <w:rFonts w:eastAsia="Arial Unicode MS" w:cs="Liberation Serif"/>
                <w:color w:val="000000"/>
                <w:kern w:val="2"/>
                <w:szCs w:val="24"/>
                <w:lang w:eastAsia="zh-CN" w:bidi="hi-IN"/>
              </w:rPr>
              <w:t xml:space="preserve">Ιδανική </w:t>
            </w:r>
          </w:p>
        </w:tc>
        <w:tc>
          <w:tcPr>
            <w:tcW w:w="2410" w:type="dxa"/>
            <w:tcBorders>
              <w:top w:val="single" w:sz="4" w:space="0" w:color="000001"/>
              <w:left w:val="single" w:sz="4" w:space="0" w:color="000001"/>
              <w:bottom w:val="single" w:sz="4" w:space="0" w:color="000001"/>
            </w:tcBorders>
            <w:shd w:val="clear" w:color="auto" w:fill="auto"/>
          </w:tcPr>
          <w:p w:rsidR="001B3514" w:rsidRDefault="00782E3E">
            <w:pPr>
              <w:suppressLineNumbers/>
              <w:suppressAutoHyphens/>
              <w:rPr>
                <w:rFonts w:eastAsia="Arial Unicode MS" w:cs="Arial Unicode MS"/>
                <w:kern w:val="2"/>
                <w:szCs w:val="24"/>
                <w:lang w:eastAsia="zh-CN" w:bidi="hi-IN"/>
              </w:rPr>
            </w:pPr>
            <w:r>
              <w:rPr>
                <w:rFonts w:eastAsia="Arial Unicode MS" w:cs="Liberation Serif"/>
                <w:color w:val="000000"/>
                <w:kern w:val="2"/>
                <w:szCs w:val="24"/>
                <w:lang w:eastAsia="zh-CN" w:bidi="hi-IN"/>
              </w:rPr>
              <w:t>&lt;120</w:t>
            </w:r>
          </w:p>
        </w:tc>
        <w:tc>
          <w:tcPr>
            <w:tcW w:w="2409" w:type="dxa"/>
            <w:tcBorders>
              <w:top w:val="single" w:sz="4" w:space="0" w:color="000001"/>
              <w:left w:val="single" w:sz="4" w:space="0" w:color="000001"/>
              <w:bottom w:val="single" w:sz="4" w:space="0" w:color="000001"/>
            </w:tcBorders>
            <w:shd w:val="clear" w:color="auto" w:fill="auto"/>
          </w:tcPr>
          <w:p w:rsidR="001B3514" w:rsidRDefault="00782E3E">
            <w:pPr>
              <w:suppressLineNumbers/>
              <w:suppressAutoHyphens/>
              <w:rPr>
                <w:rFonts w:eastAsia="Arial Unicode MS" w:cs="Arial Unicode MS"/>
                <w:kern w:val="2"/>
                <w:szCs w:val="24"/>
                <w:lang w:eastAsia="zh-CN" w:bidi="hi-IN"/>
              </w:rPr>
            </w:pPr>
            <w:r>
              <w:rPr>
                <w:rFonts w:eastAsia="Arial Unicode MS" w:cs="Liberation Serif"/>
                <w:color w:val="000000"/>
                <w:kern w:val="2"/>
                <w:szCs w:val="24"/>
                <w:lang w:eastAsia="zh-CN" w:bidi="hi-IN"/>
              </w:rPr>
              <w:t>και</w:t>
            </w:r>
          </w:p>
        </w:tc>
        <w:tc>
          <w:tcPr>
            <w:tcW w:w="2689" w:type="dxa"/>
            <w:tcBorders>
              <w:top w:val="single" w:sz="4" w:space="0" w:color="000001"/>
              <w:left w:val="single" w:sz="4" w:space="0" w:color="000001"/>
              <w:bottom w:val="single" w:sz="4" w:space="0" w:color="000001"/>
              <w:right w:val="single" w:sz="4" w:space="0" w:color="000001"/>
            </w:tcBorders>
            <w:shd w:val="clear" w:color="auto" w:fill="auto"/>
          </w:tcPr>
          <w:p w:rsidR="001B3514" w:rsidRDefault="00782E3E">
            <w:pPr>
              <w:suppressLineNumbers/>
              <w:suppressAutoHyphens/>
              <w:rPr>
                <w:rFonts w:eastAsia="Arial Unicode MS" w:cs="Arial Unicode MS"/>
                <w:kern w:val="2"/>
                <w:szCs w:val="24"/>
                <w:lang w:eastAsia="zh-CN" w:bidi="hi-IN"/>
              </w:rPr>
            </w:pPr>
            <w:r>
              <w:rPr>
                <w:rFonts w:eastAsia="Arial Unicode MS" w:cs="Liberation Serif"/>
                <w:color w:val="000000"/>
                <w:kern w:val="2"/>
                <w:szCs w:val="24"/>
                <w:lang w:eastAsia="zh-CN" w:bidi="hi-IN"/>
              </w:rPr>
              <w:t>&lt;80</w:t>
            </w:r>
          </w:p>
        </w:tc>
      </w:tr>
      <w:tr w:rsidR="001B3514">
        <w:tc>
          <w:tcPr>
            <w:tcW w:w="2409" w:type="dxa"/>
            <w:tcBorders>
              <w:top w:val="single" w:sz="4" w:space="0" w:color="000001"/>
              <w:left w:val="single" w:sz="4" w:space="0" w:color="000001"/>
              <w:bottom w:val="single" w:sz="4" w:space="0" w:color="000001"/>
            </w:tcBorders>
            <w:shd w:val="clear" w:color="auto" w:fill="auto"/>
          </w:tcPr>
          <w:p w:rsidR="001B3514" w:rsidRDefault="00782E3E">
            <w:pPr>
              <w:suppressLineNumbers/>
              <w:suppressAutoHyphens/>
              <w:rPr>
                <w:rFonts w:eastAsia="Arial Unicode MS" w:cs="Arial Unicode MS"/>
                <w:kern w:val="2"/>
                <w:szCs w:val="24"/>
                <w:lang w:eastAsia="zh-CN" w:bidi="hi-IN"/>
              </w:rPr>
            </w:pPr>
            <w:r>
              <w:rPr>
                <w:rFonts w:eastAsia="Arial Unicode MS" w:cs="Liberation Serif"/>
                <w:color w:val="000000"/>
                <w:kern w:val="2"/>
                <w:szCs w:val="24"/>
                <w:lang w:eastAsia="zh-CN" w:bidi="hi-IN"/>
              </w:rPr>
              <w:t>Φυσιολογική</w:t>
            </w:r>
          </w:p>
        </w:tc>
        <w:tc>
          <w:tcPr>
            <w:tcW w:w="2410" w:type="dxa"/>
            <w:tcBorders>
              <w:top w:val="single" w:sz="4" w:space="0" w:color="000001"/>
              <w:left w:val="single" w:sz="4" w:space="0" w:color="000001"/>
              <w:bottom w:val="single" w:sz="4" w:space="0" w:color="000001"/>
            </w:tcBorders>
            <w:shd w:val="clear" w:color="auto" w:fill="auto"/>
          </w:tcPr>
          <w:p w:rsidR="001B3514" w:rsidRDefault="00782E3E">
            <w:pPr>
              <w:suppressLineNumbers/>
              <w:suppressAutoHyphens/>
              <w:rPr>
                <w:rFonts w:eastAsia="Arial Unicode MS" w:cs="Arial Unicode MS"/>
                <w:kern w:val="2"/>
                <w:szCs w:val="24"/>
                <w:lang w:eastAsia="zh-CN" w:bidi="hi-IN"/>
              </w:rPr>
            </w:pPr>
            <w:r>
              <w:rPr>
                <w:rFonts w:eastAsia="Arial Unicode MS" w:cs="Liberation Serif"/>
                <w:color w:val="000000"/>
                <w:kern w:val="2"/>
                <w:szCs w:val="24"/>
                <w:lang w:eastAsia="zh-CN" w:bidi="hi-IN"/>
              </w:rPr>
              <w:t>120-129</w:t>
            </w:r>
          </w:p>
        </w:tc>
        <w:tc>
          <w:tcPr>
            <w:tcW w:w="2409" w:type="dxa"/>
            <w:tcBorders>
              <w:top w:val="single" w:sz="4" w:space="0" w:color="000001"/>
              <w:left w:val="single" w:sz="4" w:space="0" w:color="000001"/>
              <w:bottom w:val="single" w:sz="4" w:space="0" w:color="000001"/>
            </w:tcBorders>
            <w:shd w:val="clear" w:color="auto" w:fill="auto"/>
          </w:tcPr>
          <w:p w:rsidR="001B3514" w:rsidRDefault="00782E3E">
            <w:pPr>
              <w:suppressLineNumbers/>
              <w:suppressAutoHyphens/>
              <w:rPr>
                <w:rFonts w:eastAsia="Arial Unicode MS" w:cs="Arial Unicode MS"/>
                <w:kern w:val="2"/>
                <w:szCs w:val="24"/>
                <w:lang w:eastAsia="zh-CN" w:bidi="hi-IN"/>
              </w:rPr>
            </w:pPr>
            <w:r>
              <w:rPr>
                <w:rFonts w:eastAsia="Arial Unicode MS" w:cs="Liberation Serif"/>
                <w:color w:val="000000"/>
                <w:kern w:val="2"/>
                <w:szCs w:val="24"/>
                <w:lang w:eastAsia="zh-CN" w:bidi="hi-IN"/>
              </w:rPr>
              <w:t>και/ή</w:t>
            </w:r>
          </w:p>
        </w:tc>
        <w:tc>
          <w:tcPr>
            <w:tcW w:w="2689" w:type="dxa"/>
            <w:tcBorders>
              <w:top w:val="single" w:sz="4" w:space="0" w:color="000001"/>
              <w:left w:val="single" w:sz="4" w:space="0" w:color="000001"/>
              <w:bottom w:val="single" w:sz="4" w:space="0" w:color="000001"/>
              <w:right w:val="single" w:sz="4" w:space="0" w:color="000001"/>
            </w:tcBorders>
            <w:shd w:val="clear" w:color="auto" w:fill="auto"/>
          </w:tcPr>
          <w:p w:rsidR="001B3514" w:rsidRDefault="00782E3E">
            <w:pPr>
              <w:suppressLineNumbers/>
              <w:suppressAutoHyphens/>
              <w:rPr>
                <w:rFonts w:eastAsia="Arial Unicode MS" w:cs="Arial Unicode MS"/>
                <w:kern w:val="2"/>
                <w:szCs w:val="24"/>
                <w:lang w:eastAsia="zh-CN" w:bidi="hi-IN"/>
              </w:rPr>
            </w:pPr>
            <w:r>
              <w:rPr>
                <w:rFonts w:eastAsia="Arial Unicode MS" w:cs="Liberation Serif"/>
                <w:color w:val="000000"/>
                <w:kern w:val="2"/>
                <w:szCs w:val="24"/>
                <w:lang w:eastAsia="zh-CN" w:bidi="hi-IN"/>
              </w:rPr>
              <w:t>80-84</w:t>
            </w:r>
          </w:p>
        </w:tc>
      </w:tr>
      <w:tr w:rsidR="001B3514">
        <w:tc>
          <w:tcPr>
            <w:tcW w:w="2409" w:type="dxa"/>
            <w:tcBorders>
              <w:top w:val="single" w:sz="4" w:space="0" w:color="000001"/>
              <w:left w:val="single" w:sz="4" w:space="0" w:color="000001"/>
              <w:bottom w:val="single" w:sz="4" w:space="0" w:color="000001"/>
            </w:tcBorders>
            <w:shd w:val="clear" w:color="auto" w:fill="auto"/>
          </w:tcPr>
          <w:p w:rsidR="001B3514" w:rsidRDefault="00782E3E">
            <w:pPr>
              <w:suppressLineNumbers/>
              <w:suppressAutoHyphens/>
              <w:rPr>
                <w:rFonts w:eastAsia="Arial Unicode MS" w:cs="Arial Unicode MS"/>
                <w:kern w:val="2"/>
                <w:szCs w:val="24"/>
                <w:lang w:eastAsia="zh-CN" w:bidi="hi-IN"/>
              </w:rPr>
            </w:pPr>
            <w:r>
              <w:rPr>
                <w:rFonts w:eastAsia="Arial Unicode MS" w:cs="Liberation Serif"/>
                <w:color w:val="000000"/>
                <w:kern w:val="2"/>
                <w:szCs w:val="24"/>
                <w:lang w:eastAsia="zh-CN" w:bidi="hi-IN"/>
              </w:rPr>
              <w:lastRenderedPageBreak/>
              <w:t xml:space="preserve">Υψηλή φυσιολογική </w:t>
            </w:r>
          </w:p>
        </w:tc>
        <w:tc>
          <w:tcPr>
            <w:tcW w:w="2410" w:type="dxa"/>
            <w:tcBorders>
              <w:top w:val="single" w:sz="4" w:space="0" w:color="000001"/>
              <w:left w:val="single" w:sz="4" w:space="0" w:color="000001"/>
              <w:bottom w:val="single" w:sz="4" w:space="0" w:color="000001"/>
            </w:tcBorders>
            <w:shd w:val="clear" w:color="auto" w:fill="auto"/>
          </w:tcPr>
          <w:p w:rsidR="001B3514" w:rsidRDefault="00782E3E">
            <w:pPr>
              <w:suppressLineNumbers/>
              <w:suppressAutoHyphens/>
              <w:rPr>
                <w:rFonts w:eastAsia="Arial Unicode MS" w:cs="Arial Unicode MS"/>
                <w:kern w:val="2"/>
                <w:szCs w:val="24"/>
                <w:lang w:eastAsia="zh-CN" w:bidi="hi-IN"/>
              </w:rPr>
            </w:pPr>
            <w:r>
              <w:rPr>
                <w:rFonts w:eastAsia="Arial Unicode MS" w:cs="Liberation Serif"/>
                <w:color w:val="000000"/>
                <w:kern w:val="2"/>
                <w:szCs w:val="24"/>
                <w:lang w:eastAsia="zh-CN" w:bidi="hi-IN"/>
              </w:rPr>
              <w:t>130-139</w:t>
            </w:r>
          </w:p>
        </w:tc>
        <w:tc>
          <w:tcPr>
            <w:tcW w:w="2409" w:type="dxa"/>
            <w:tcBorders>
              <w:top w:val="single" w:sz="4" w:space="0" w:color="000001"/>
              <w:left w:val="single" w:sz="4" w:space="0" w:color="000001"/>
              <w:bottom w:val="single" w:sz="4" w:space="0" w:color="000001"/>
            </w:tcBorders>
            <w:shd w:val="clear" w:color="auto" w:fill="auto"/>
          </w:tcPr>
          <w:p w:rsidR="001B3514" w:rsidRDefault="00782E3E">
            <w:pPr>
              <w:suppressLineNumbers/>
              <w:suppressAutoHyphens/>
              <w:rPr>
                <w:rFonts w:eastAsia="Arial Unicode MS" w:cs="Arial Unicode MS"/>
                <w:kern w:val="2"/>
                <w:szCs w:val="24"/>
                <w:lang w:eastAsia="zh-CN" w:bidi="hi-IN"/>
              </w:rPr>
            </w:pPr>
            <w:r>
              <w:rPr>
                <w:rFonts w:eastAsia="Arial Unicode MS" w:cs="Liberation Serif"/>
                <w:color w:val="000000"/>
                <w:kern w:val="2"/>
                <w:szCs w:val="24"/>
                <w:lang w:eastAsia="zh-CN" w:bidi="hi-IN"/>
              </w:rPr>
              <w:t>και/ή</w:t>
            </w:r>
          </w:p>
        </w:tc>
        <w:tc>
          <w:tcPr>
            <w:tcW w:w="2689" w:type="dxa"/>
            <w:tcBorders>
              <w:top w:val="single" w:sz="4" w:space="0" w:color="000001"/>
              <w:left w:val="single" w:sz="4" w:space="0" w:color="000001"/>
              <w:bottom w:val="single" w:sz="4" w:space="0" w:color="000001"/>
              <w:right w:val="single" w:sz="4" w:space="0" w:color="000001"/>
            </w:tcBorders>
            <w:shd w:val="clear" w:color="auto" w:fill="auto"/>
          </w:tcPr>
          <w:p w:rsidR="001B3514" w:rsidRDefault="00782E3E">
            <w:pPr>
              <w:suppressLineNumbers/>
              <w:suppressAutoHyphens/>
              <w:rPr>
                <w:rFonts w:eastAsia="Arial Unicode MS" w:cs="Arial Unicode MS"/>
                <w:kern w:val="2"/>
                <w:szCs w:val="24"/>
                <w:lang w:eastAsia="zh-CN" w:bidi="hi-IN"/>
              </w:rPr>
            </w:pPr>
            <w:r>
              <w:rPr>
                <w:rFonts w:eastAsia="Arial Unicode MS" w:cs="Liberation Serif"/>
                <w:color w:val="000000"/>
                <w:kern w:val="2"/>
                <w:szCs w:val="24"/>
                <w:lang w:eastAsia="zh-CN" w:bidi="hi-IN"/>
              </w:rPr>
              <w:t>85-89</w:t>
            </w:r>
          </w:p>
        </w:tc>
      </w:tr>
      <w:tr w:rsidR="001B3514">
        <w:tc>
          <w:tcPr>
            <w:tcW w:w="2409" w:type="dxa"/>
            <w:tcBorders>
              <w:top w:val="single" w:sz="4" w:space="0" w:color="000001"/>
              <w:left w:val="single" w:sz="4" w:space="0" w:color="000001"/>
              <w:bottom w:val="single" w:sz="4" w:space="0" w:color="000001"/>
            </w:tcBorders>
            <w:shd w:val="clear" w:color="auto" w:fill="auto"/>
          </w:tcPr>
          <w:p w:rsidR="001B3514" w:rsidRDefault="00782E3E">
            <w:pPr>
              <w:suppressLineNumbers/>
              <w:suppressAutoHyphens/>
              <w:rPr>
                <w:rFonts w:eastAsia="Arial Unicode MS" w:cs="Arial Unicode MS"/>
                <w:kern w:val="2"/>
                <w:szCs w:val="24"/>
                <w:lang w:eastAsia="zh-CN" w:bidi="hi-IN"/>
              </w:rPr>
            </w:pPr>
            <w:r>
              <w:rPr>
                <w:rFonts w:eastAsia="Arial Unicode MS" w:cs="Liberation Serif"/>
                <w:color w:val="000000"/>
                <w:kern w:val="2"/>
                <w:szCs w:val="24"/>
                <w:lang w:eastAsia="zh-CN" w:bidi="hi-IN"/>
              </w:rPr>
              <w:t>Υπέρταση σταδίου 1</w:t>
            </w:r>
          </w:p>
        </w:tc>
        <w:tc>
          <w:tcPr>
            <w:tcW w:w="2410" w:type="dxa"/>
            <w:tcBorders>
              <w:top w:val="single" w:sz="4" w:space="0" w:color="000001"/>
              <w:left w:val="single" w:sz="4" w:space="0" w:color="000001"/>
              <w:bottom w:val="single" w:sz="4" w:space="0" w:color="000001"/>
            </w:tcBorders>
            <w:shd w:val="clear" w:color="auto" w:fill="auto"/>
          </w:tcPr>
          <w:p w:rsidR="001B3514" w:rsidRDefault="00782E3E">
            <w:pPr>
              <w:suppressLineNumbers/>
              <w:suppressAutoHyphens/>
              <w:rPr>
                <w:rFonts w:eastAsia="Arial Unicode MS" w:cs="Arial Unicode MS"/>
                <w:kern w:val="2"/>
                <w:szCs w:val="24"/>
                <w:lang w:eastAsia="zh-CN" w:bidi="hi-IN"/>
              </w:rPr>
            </w:pPr>
            <w:r>
              <w:rPr>
                <w:rFonts w:eastAsia="Arial Unicode MS" w:cs="Liberation Serif"/>
                <w:color w:val="000000"/>
                <w:kern w:val="2"/>
                <w:szCs w:val="24"/>
                <w:lang w:eastAsia="zh-CN" w:bidi="hi-IN"/>
              </w:rPr>
              <w:t>140-159</w:t>
            </w:r>
          </w:p>
        </w:tc>
        <w:tc>
          <w:tcPr>
            <w:tcW w:w="2409" w:type="dxa"/>
            <w:tcBorders>
              <w:top w:val="single" w:sz="4" w:space="0" w:color="000001"/>
              <w:left w:val="single" w:sz="4" w:space="0" w:color="000001"/>
              <w:bottom w:val="single" w:sz="4" w:space="0" w:color="000001"/>
            </w:tcBorders>
            <w:shd w:val="clear" w:color="auto" w:fill="auto"/>
          </w:tcPr>
          <w:p w:rsidR="001B3514" w:rsidRDefault="00782E3E">
            <w:pPr>
              <w:suppressLineNumbers/>
              <w:suppressAutoHyphens/>
              <w:rPr>
                <w:rFonts w:eastAsia="Arial Unicode MS" w:cs="Arial Unicode MS"/>
                <w:kern w:val="2"/>
                <w:szCs w:val="24"/>
                <w:lang w:eastAsia="zh-CN" w:bidi="hi-IN"/>
              </w:rPr>
            </w:pPr>
            <w:r>
              <w:rPr>
                <w:rFonts w:eastAsia="Arial Unicode MS" w:cs="Liberation Serif"/>
                <w:color w:val="000000"/>
                <w:kern w:val="2"/>
                <w:szCs w:val="24"/>
                <w:lang w:eastAsia="zh-CN" w:bidi="hi-IN"/>
              </w:rPr>
              <w:t>και/ή</w:t>
            </w:r>
          </w:p>
        </w:tc>
        <w:tc>
          <w:tcPr>
            <w:tcW w:w="2689" w:type="dxa"/>
            <w:tcBorders>
              <w:top w:val="single" w:sz="4" w:space="0" w:color="000001"/>
              <w:left w:val="single" w:sz="4" w:space="0" w:color="000001"/>
              <w:bottom w:val="single" w:sz="4" w:space="0" w:color="000001"/>
              <w:right w:val="single" w:sz="4" w:space="0" w:color="000001"/>
            </w:tcBorders>
            <w:shd w:val="clear" w:color="auto" w:fill="auto"/>
          </w:tcPr>
          <w:p w:rsidR="001B3514" w:rsidRDefault="00782E3E">
            <w:pPr>
              <w:suppressLineNumbers/>
              <w:suppressAutoHyphens/>
              <w:rPr>
                <w:rFonts w:eastAsia="Arial Unicode MS" w:cs="Arial Unicode MS"/>
                <w:kern w:val="2"/>
                <w:szCs w:val="24"/>
                <w:lang w:eastAsia="zh-CN" w:bidi="hi-IN"/>
              </w:rPr>
            </w:pPr>
            <w:r>
              <w:rPr>
                <w:rFonts w:eastAsia="Arial Unicode MS" w:cs="Liberation Serif"/>
                <w:color w:val="000000"/>
                <w:kern w:val="2"/>
                <w:szCs w:val="24"/>
                <w:lang w:eastAsia="zh-CN" w:bidi="hi-IN"/>
              </w:rPr>
              <w:t>90-99</w:t>
            </w:r>
          </w:p>
        </w:tc>
      </w:tr>
      <w:tr w:rsidR="001B3514">
        <w:tc>
          <w:tcPr>
            <w:tcW w:w="2409" w:type="dxa"/>
            <w:tcBorders>
              <w:top w:val="single" w:sz="4" w:space="0" w:color="000001"/>
              <w:left w:val="single" w:sz="4" w:space="0" w:color="000001"/>
              <w:bottom w:val="single" w:sz="4" w:space="0" w:color="000001"/>
            </w:tcBorders>
            <w:shd w:val="clear" w:color="auto" w:fill="auto"/>
          </w:tcPr>
          <w:p w:rsidR="001B3514" w:rsidRDefault="00782E3E">
            <w:pPr>
              <w:suppressLineNumbers/>
              <w:suppressAutoHyphens/>
              <w:rPr>
                <w:rFonts w:eastAsia="Arial Unicode MS" w:cs="Arial Unicode MS"/>
                <w:kern w:val="2"/>
                <w:szCs w:val="24"/>
                <w:lang w:eastAsia="zh-CN" w:bidi="hi-IN"/>
              </w:rPr>
            </w:pPr>
            <w:r>
              <w:rPr>
                <w:rFonts w:eastAsia="Arial Unicode MS" w:cs="Liberation Serif"/>
                <w:color w:val="000000"/>
                <w:kern w:val="2"/>
                <w:szCs w:val="24"/>
                <w:lang w:eastAsia="zh-CN" w:bidi="hi-IN"/>
              </w:rPr>
              <w:t>Υπέρταση σταδίου 2</w:t>
            </w:r>
          </w:p>
        </w:tc>
        <w:tc>
          <w:tcPr>
            <w:tcW w:w="2410" w:type="dxa"/>
            <w:tcBorders>
              <w:top w:val="single" w:sz="4" w:space="0" w:color="000001"/>
              <w:left w:val="single" w:sz="4" w:space="0" w:color="000001"/>
              <w:bottom w:val="single" w:sz="4" w:space="0" w:color="000001"/>
            </w:tcBorders>
            <w:shd w:val="clear" w:color="auto" w:fill="auto"/>
          </w:tcPr>
          <w:p w:rsidR="001B3514" w:rsidRDefault="00782E3E">
            <w:pPr>
              <w:suppressLineNumbers/>
              <w:suppressAutoHyphens/>
              <w:rPr>
                <w:rFonts w:eastAsia="Arial Unicode MS" w:cs="Arial Unicode MS"/>
                <w:kern w:val="2"/>
                <w:szCs w:val="24"/>
                <w:lang w:eastAsia="zh-CN" w:bidi="hi-IN"/>
              </w:rPr>
            </w:pPr>
            <w:r>
              <w:rPr>
                <w:rFonts w:eastAsia="Arial Unicode MS" w:cs="Liberation Serif"/>
                <w:color w:val="000000"/>
                <w:kern w:val="2"/>
                <w:szCs w:val="24"/>
                <w:lang w:eastAsia="zh-CN" w:bidi="hi-IN"/>
              </w:rPr>
              <w:t>160-179</w:t>
            </w:r>
          </w:p>
        </w:tc>
        <w:tc>
          <w:tcPr>
            <w:tcW w:w="2409" w:type="dxa"/>
            <w:tcBorders>
              <w:top w:val="single" w:sz="4" w:space="0" w:color="000001"/>
              <w:left w:val="single" w:sz="4" w:space="0" w:color="000001"/>
              <w:bottom w:val="single" w:sz="4" w:space="0" w:color="000001"/>
            </w:tcBorders>
            <w:shd w:val="clear" w:color="auto" w:fill="auto"/>
          </w:tcPr>
          <w:p w:rsidR="001B3514" w:rsidRDefault="00782E3E">
            <w:pPr>
              <w:suppressLineNumbers/>
              <w:suppressAutoHyphens/>
              <w:rPr>
                <w:rFonts w:eastAsia="Arial Unicode MS" w:cs="Arial Unicode MS"/>
                <w:kern w:val="2"/>
                <w:szCs w:val="24"/>
                <w:lang w:eastAsia="zh-CN" w:bidi="hi-IN"/>
              </w:rPr>
            </w:pPr>
            <w:r>
              <w:rPr>
                <w:rFonts w:eastAsia="Arial Unicode MS" w:cs="Liberation Serif"/>
                <w:color w:val="000000"/>
                <w:kern w:val="2"/>
                <w:szCs w:val="24"/>
                <w:lang w:eastAsia="zh-CN" w:bidi="hi-IN"/>
              </w:rPr>
              <w:t>και/ή</w:t>
            </w:r>
          </w:p>
        </w:tc>
        <w:tc>
          <w:tcPr>
            <w:tcW w:w="2689" w:type="dxa"/>
            <w:tcBorders>
              <w:top w:val="single" w:sz="4" w:space="0" w:color="000001"/>
              <w:left w:val="single" w:sz="4" w:space="0" w:color="000001"/>
              <w:bottom w:val="single" w:sz="4" w:space="0" w:color="000001"/>
              <w:right w:val="single" w:sz="4" w:space="0" w:color="000001"/>
            </w:tcBorders>
            <w:shd w:val="clear" w:color="auto" w:fill="auto"/>
          </w:tcPr>
          <w:p w:rsidR="001B3514" w:rsidRDefault="00782E3E">
            <w:pPr>
              <w:suppressLineNumbers/>
              <w:suppressAutoHyphens/>
              <w:rPr>
                <w:rFonts w:eastAsia="Arial Unicode MS" w:cs="Arial Unicode MS"/>
                <w:kern w:val="2"/>
                <w:szCs w:val="24"/>
                <w:lang w:eastAsia="zh-CN" w:bidi="hi-IN"/>
              </w:rPr>
            </w:pPr>
            <w:r>
              <w:rPr>
                <w:rFonts w:eastAsia="Arial Unicode MS" w:cs="Liberation Serif"/>
                <w:color w:val="000000"/>
                <w:kern w:val="2"/>
                <w:szCs w:val="24"/>
                <w:lang w:eastAsia="zh-CN" w:bidi="hi-IN"/>
              </w:rPr>
              <w:t>100-109</w:t>
            </w:r>
          </w:p>
        </w:tc>
      </w:tr>
      <w:tr w:rsidR="001B3514">
        <w:tc>
          <w:tcPr>
            <w:tcW w:w="2409" w:type="dxa"/>
            <w:tcBorders>
              <w:top w:val="single" w:sz="4" w:space="0" w:color="000001"/>
              <w:left w:val="single" w:sz="4" w:space="0" w:color="000001"/>
              <w:bottom w:val="single" w:sz="4" w:space="0" w:color="000001"/>
            </w:tcBorders>
            <w:shd w:val="clear" w:color="auto" w:fill="auto"/>
          </w:tcPr>
          <w:p w:rsidR="001B3514" w:rsidRDefault="00782E3E">
            <w:pPr>
              <w:suppressLineNumbers/>
              <w:suppressAutoHyphens/>
              <w:rPr>
                <w:rFonts w:eastAsia="Arial Unicode MS" w:cs="Arial Unicode MS"/>
                <w:kern w:val="2"/>
                <w:szCs w:val="24"/>
                <w:lang w:eastAsia="zh-CN" w:bidi="hi-IN"/>
              </w:rPr>
            </w:pPr>
            <w:r>
              <w:rPr>
                <w:rFonts w:eastAsia="Arial Unicode MS" w:cs="Liberation Serif"/>
                <w:color w:val="000000"/>
                <w:kern w:val="2"/>
                <w:szCs w:val="24"/>
                <w:lang w:eastAsia="zh-CN" w:bidi="hi-IN"/>
              </w:rPr>
              <w:t>Υπέρταση σταδίου 3</w:t>
            </w:r>
          </w:p>
        </w:tc>
        <w:tc>
          <w:tcPr>
            <w:tcW w:w="2410" w:type="dxa"/>
            <w:tcBorders>
              <w:top w:val="single" w:sz="4" w:space="0" w:color="000001"/>
              <w:left w:val="single" w:sz="4" w:space="0" w:color="000001"/>
              <w:bottom w:val="single" w:sz="4" w:space="0" w:color="000001"/>
            </w:tcBorders>
            <w:shd w:val="clear" w:color="auto" w:fill="auto"/>
          </w:tcPr>
          <w:p w:rsidR="001B3514" w:rsidRDefault="00782E3E">
            <w:pPr>
              <w:suppressLineNumbers/>
              <w:suppressAutoHyphens/>
              <w:rPr>
                <w:rFonts w:eastAsia="Arial Unicode MS" w:cs="Arial Unicode MS"/>
                <w:kern w:val="2"/>
                <w:szCs w:val="24"/>
                <w:lang w:eastAsia="zh-CN" w:bidi="hi-IN"/>
              </w:rPr>
            </w:pPr>
            <w:r>
              <w:rPr>
                <w:rFonts w:eastAsia="Arial Unicode MS" w:cs="Liberation Serif"/>
                <w:color w:val="000000"/>
                <w:kern w:val="2"/>
                <w:szCs w:val="24"/>
                <w:u w:val="single"/>
                <w:lang w:eastAsia="zh-CN" w:bidi="hi-IN"/>
              </w:rPr>
              <w:t>&gt;180</w:t>
            </w:r>
          </w:p>
        </w:tc>
        <w:tc>
          <w:tcPr>
            <w:tcW w:w="2409" w:type="dxa"/>
            <w:tcBorders>
              <w:top w:val="single" w:sz="4" w:space="0" w:color="000001"/>
              <w:left w:val="single" w:sz="4" w:space="0" w:color="000001"/>
              <w:bottom w:val="single" w:sz="4" w:space="0" w:color="000001"/>
            </w:tcBorders>
            <w:shd w:val="clear" w:color="auto" w:fill="auto"/>
          </w:tcPr>
          <w:p w:rsidR="001B3514" w:rsidRDefault="00782E3E">
            <w:pPr>
              <w:suppressLineNumbers/>
              <w:suppressAutoHyphens/>
              <w:rPr>
                <w:rFonts w:eastAsia="Arial Unicode MS" w:cs="Arial Unicode MS"/>
                <w:kern w:val="2"/>
                <w:szCs w:val="24"/>
                <w:lang w:eastAsia="zh-CN" w:bidi="hi-IN"/>
              </w:rPr>
            </w:pPr>
            <w:r>
              <w:rPr>
                <w:rFonts w:eastAsia="Arial Unicode MS" w:cs="Liberation Serif"/>
                <w:color w:val="000000"/>
                <w:kern w:val="2"/>
                <w:szCs w:val="24"/>
                <w:lang w:eastAsia="zh-CN" w:bidi="hi-IN"/>
              </w:rPr>
              <w:t>και/ή</w:t>
            </w:r>
          </w:p>
        </w:tc>
        <w:tc>
          <w:tcPr>
            <w:tcW w:w="2689" w:type="dxa"/>
            <w:tcBorders>
              <w:top w:val="single" w:sz="4" w:space="0" w:color="000001"/>
              <w:left w:val="single" w:sz="4" w:space="0" w:color="000001"/>
              <w:bottom w:val="single" w:sz="4" w:space="0" w:color="000001"/>
              <w:right w:val="single" w:sz="4" w:space="0" w:color="000001"/>
            </w:tcBorders>
            <w:shd w:val="clear" w:color="auto" w:fill="auto"/>
          </w:tcPr>
          <w:p w:rsidR="001B3514" w:rsidRDefault="00782E3E">
            <w:pPr>
              <w:suppressLineNumbers/>
              <w:suppressAutoHyphens/>
              <w:rPr>
                <w:rFonts w:eastAsia="Arial Unicode MS" w:cs="Arial Unicode MS"/>
                <w:kern w:val="2"/>
                <w:szCs w:val="24"/>
                <w:lang w:eastAsia="zh-CN" w:bidi="hi-IN"/>
              </w:rPr>
            </w:pPr>
            <w:r>
              <w:rPr>
                <w:rFonts w:eastAsia="Arial Unicode MS" w:cs="Liberation Serif"/>
                <w:color w:val="000000"/>
                <w:kern w:val="2"/>
                <w:szCs w:val="24"/>
                <w:u w:val="single"/>
                <w:lang w:eastAsia="zh-CN" w:bidi="hi-IN"/>
              </w:rPr>
              <w:t>&gt;110</w:t>
            </w:r>
          </w:p>
        </w:tc>
      </w:tr>
      <w:tr w:rsidR="001B3514">
        <w:tc>
          <w:tcPr>
            <w:tcW w:w="2409" w:type="dxa"/>
            <w:tcBorders>
              <w:top w:val="single" w:sz="4" w:space="0" w:color="000001"/>
              <w:left w:val="single" w:sz="4" w:space="0" w:color="000001"/>
              <w:bottom w:val="single" w:sz="4" w:space="0" w:color="000001"/>
            </w:tcBorders>
            <w:shd w:val="clear" w:color="auto" w:fill="auto"/>
          </w:tcPr>
          <w:p w:rsidR="001B3514" w:rsidRDefault="00782E3E">
            <w:pPr>
              <w:suppressLineNumbers/>
              <w:suppressAutoHyphens/>
              <w:rPr>
                <w:rFonts w:eastAsia="Arial Unicode MS" w:cs="Arial Unicode MS"/>
                <w:kern w:val="2"/>
                <w:szCs w:val="24"/>
                <w:lang w:eastAsia="zh-CN" w:bidi="hi-IN"/>
              </w:rPr>
            </w:pPr>
            <w:r>
              <w:rPr>
                <w:rFonts w:eastAsia="Arial Unicode MS" w:cs="Liberation Serif"/>
                <w:color w:val="000000"/>
                <w:kern w:val="2"/>
                <w:szCs w:val="24"/>
                <w:lang w:eastAsia="zh-CN" w:bidi="hi-IN"/>
              </w:rPr>
              <w:t>Μεμονωμένη συστολική υπέρταση</w:t>
            </w:r>
            <w:r>
              <w:rPr>
                <w:rFonts w:eastAsia="Arial Unicode MS" w:cs="Liberation Serif"/>
                <w:color w:val="000000"/>
                <w:kern w:val="2"/>
                <w:szCs w:val="24"/>
                <w:vertAlign w:val="superscript"/>
                <w:lang w:eastAsia="zh-CN" w:bidi="hi-IN"/>
              </w:rPr>
              <w:t>β</w:t>
            </w:r>
          </w:p>
        </w:tc>
        <w:tc>
          <w:tcPr>
            <w:tcW w:w="2410" w:type="dxa"/>
            <w:tcBorders>
              <w:top w:val="single" w:sz="4" w:space="0" w:color="000001"/>
              <w:left w:val="single" w:sz="4" w:space="0" w:color="000001"/>
              <w:bottom w:val="single" w:sz="4" w:space="0" w:color="000001"/>
            </w:tcBorders>
            <w:shd w:val="clear" w:color="auto" w:fill="auto"/>
          </w:tcPr>
          <w:p w:rsidR="001B3514" w:rsidRDefault="00782E3E">
            <w:pPr>
              <w:suppressLineNumbers/>
              <w:suppressAutoHyphens/>
              <w:rPr>
                <w:rFonts w:eastAsia="Arial Unicode MS" w:cs="Arial Unicode MS"/>
                <w:kern w:val="2"/>
                <w:szCs w:val="24"/>
                <w:lang w:eastAsia="zh-CN" w:bidi="hi-IN"/>
              </w:rPr>
            </w:pPr>
            <w:r>
              <w:rPr>
                <w:rFonts w:eastAsia="Arial Unicode MS" w:cs="Liberation Serif"/>
                <w:color w:val="000000"/>
                <w:kern w:val="2"/>
                <w:szCs w:val="24"/>
                <w:u w:val="single"/>
                <w:lang w:eastAsia="zh-CN" w:bidi="hi-IN"/>
              </w:rPr>
              <w:t>&gt;140</w:t>
            </w:r>
          </w:p>
        </w:tc>
        <w:tc>
          <w:tcPr>
            <w:tcW w:w="2409" w:type="dxa"/>
            <w:tcBorders>
              <w:top w:val="single" w:sz="4" w:space="0" w:color="000001"/>
              <w:left w:val="single" w:sz="4" w:space="0" w:color="000001"/>
              <w:bottom w:val="single" w:sz="4" w:space="0" w:color="000001"/>
            </w:tcBorders>
            <w:shd w:val="clear" w:color="auto" w:fill="auto"/>
          </w:tcPr>
          <w:p w:rsidR="001B3514" w:rsidRDefault="00782E3E">
            <w:pPr>
              <w:suppressLineNumbers/>
              <w:suppressAutoHyphens/>
              <w:rPr>
                <w:rFonts w:eastAsia="Arial Unicode MS" w:cs="Arial Unicode MS"/>
                <w:kern w:val="2"/>
                <w:szCs w:val="24"/>
                <w:lang w:eastAsia="zh-CN" w:bidi="hi-IN"/>
              </w:rPr>
            </w:pPr>
            <w:r>
              <w:rPr>
                <w:rFonts w:eastAsia="Arial Unicode MS" w:cs="Liberation Serif"/>
                <w:color w:val="000000"/>
                <w:kern w:val="2"/>
                <w:szCs w:val="24"/>
                <w:lang w:eastAsia="zh-CN" w:bidi="hi-IN"/>
              </w:rPr>
              <w:t>και</w:t>
            </w:r>
          </w:p>
        </w:tc>
        <w:tc>
          <w:tcPr>
            <w:tcW w:w="2689" w:type="dxa"/>
            <w:tcBorders>
              <w:top w:val="single" w:sz="4" w:space="0" w:color="000001"/>
              <w:left w:val="single" w:sz="4" w:space="0" w:color="000001"/>
              <w:bottom w:val="single" w:sz="4" w:space="0" w:color="000001"/>
              <w:right w:val="single" w:sz="4" w:space="0" w:color="000001"/>
            </w:tcBorders>
            <w:shd w:val="clear" w:color="auto" w:fill="auto"/>
          </w:tcPr>
          <w:p w:rsidR="001B3514" w:rsidRDefault="00782E3E">
            <w:pPr>
              <w:suppressLineNumbers/>
              <w:suppressAutoHyphens/>
              <w:rPr>
                <w:rFonts w:eastAsia="Arial Unicode MS" w:cs="Arial Unicode MS"/>
                <w:kern w:val="2"/>
                <w:szCs w:val="24"/>
                <w:lang w:eastAsia="zh-CN" w:bidi="hi-IN"/>
              </w:rPr>
            </w:pPr>
            <w:r>
              <w:rPr>
                <w:rFonts w:eastAsia="Arial Unicode MS" w:cs="Liberation Serif"/>
                <w:color w:val="000000"/>
                <w:kern w:val="2"/>
                <w:szCs w:val="24"/>
                <w:lang w:eastAsia="zh-CN" w:bidi="hi-IN"/>
              </w:rPr>
              <w:t>90</w:t>
            </w:r>
          </w:p>
        </w:tc>
      </w:tr>
    </w:tbl>
    <w:p w:rsidR="001B3514" w:rsidRDefault="00782E3E">
      <w:pPr>
        <w:suppressAutoHyphens/>
        <w:spacing w:after="140" w:line="276" w:lineRule="auto"/>
        <w:rPr>
          <w:rFonts w:eastAsia="Arial Unicode MS" w:cs="Arial Unicode MS"/>
          <w:kern w:val="2"/>
          <w:szCs w:val="24"/>
          <w:lang w:eastAsia="zh-CN" w:bidi="hi-IN"/>
        </w:rPr>
      </w:pPr>
      <w:r>
        <w:rPr>
          <w:rFonts w:eastAsia="Arial Unicode MS" w:cs="Liberation Serif"/>
          <w:kern w:val="2"/>
          <w:szCs w:val="24"/>
          <w:lang w:eastAsia="zh-CN" w:bidi="hi-IN"/>
        </w:rPr>
        <w:t>Η διάγνωση της αρτηριακής πίεσης στους ενήλικες τίθεται όταν συμβαίνει ένα από τα παρακάτω:</w:t>
      </w:r>
    </w:p>
    <w:p w:rsidR="001B3514" w:rsidRDefault="00782E3E">
      <w:pPr>
        <w:suppressAutoHyphens/>
        <w:spacing w:after="140" w:line="276" w:lineRule="auto"/>
        <w:rPr>
          <w:rFonts w:eastAsia="Arial Unicode MS" w:cs="Arial Unicode MS"/>
          <w:kern w:val="2"/>
          <w:szCs w:val="24"/>
          <w:lang w:eastAsia="zh-CN" w:bidi="hi-IN"/>
        </w:rPr>
      </w:pPr>
      <w:r>
        <w:rPr>
          <w:rFonts w:eastAsia="Arial Unicode MS" w:cs="Liberation Serif"/>
          <w:kern w:val="2"/>
          <w:szCs w:val="24"/>
          <w:lang w:eastAsia="zh-CN" w:bidi="hi-IN"/>
        </w:rPr>
        <w:t>1. Ο μέσος όρος πολλαπλών μετρήσεων της συστολικής πίεσης σε δύο ή περισσότερες επισκέψεις στο ιατρείο είναι σταθερά πάνω από 140 mmHg, όπου συστολική πίεση είναι ο μεγάλος αριθμός στη μέτρηση της πίεσης.</w:t>
      </w:r>
    </w:p>
    <w:p w:rsidR="001B3514" w:rsidRDefault="00782E3E">
      <w:pPr>
        <w:suppressAutoHyphens/>
        <w:spacing w:after="140" w:line="276" w:lineRule="auto"/>
        <w:rPr>
          <w:rFonts w:eastAsia="Arial Unicode MS" w:cs="Arial Unicode MS"/>
          <w:kern w:val="2"/>
          <w:szCs w:val="24"/>
          <w:lang w:eastAsia="zh-CN" w:bidi="hi-IN"/>
        </w:rPr>
      </w:pPr>
      <w:r>
        <w:rPr>
          <w:rFonts w:eastAsia="Arial Unicode MS" w:cs="Liberation Serif"/>
          <w:kern w:val="2"/>
          <w:szCs w:val="24"/>
          <w:lang w:eastAsia="zh-CN" w:bidi="hi-IN"/>
        </w:rPr>
        <w:t>2. Ο μέσος όρος δύο ή περισσότερων μετρήσεων της διαστολικής πίεσης σε δύο τουλάχιστον επισκέψεις στο ιατρείο ανευρίσκεται πάνω από 90 mmHg, όπου διαστολική πίεση είναι ο μικρός αριθμός στη μέτρηση της πίεσης.</w:t>
      </w:r>
    </w:p>
    <w:p w:rsidR="001B3514" w:rsidRDefault="00782E3E">
      <w:pPr>
        <w:suppressAutoHyphens/>
        <w:spacing w:after="140"/>
        <w:rPr>
          <w:rFonts w:eastAsia="Arial Unicode MS" w:cs="Arial Unicode MS"/>
          <w:kern w:val="2"/>
          <w:szCs w:val="24"/>
          <w:lang w:eastAsia="zh-CN" w:bidi="hi-IN"/>
        </w:rPr>
      </w:pPr>
      <w:r>
        <w:rPr>
          <w:rFonts w:eastAsia="Arial Unicode MS" w:cs="Liberation Serif"/>
          <w:color w:val="000000"/>
          <w:kern w:val="2"/>
          <w:szCs w:val="24"/>
          <w:lang w:eastAsia="zh-CN" w:bidi="hi-IN"/>
        </w:rPr>
        <w:t>Η επιβεβαίωση της διάγνωσης της νόσου δεν θα πρέπει να βασίζεται σε μία μόνο μέτρηση στο ιατρείο, εκτός εάν η πίεση είναι πολύ αυξημένη ( υπέρταση σταδίου 3) και υπάρχουν σαφείς ενδείξεις HMOD (υπερτασική αμφιβληστροειδοπάθεια με εξιδρώματα και αιμορραγίες, υπερτροφία αριστερής κοιλίας, νεφρική ή αγγειακή βλάβη). Για όλες τις άλλες περιπτώσεις ασθενών</w:t>
      </w:r>
      <w:r w:rsidR="00F7158D">
        <w:rPr>
          <w:rFonts w:eastAsia="Arial Unicode MS" w:cs="Liberation Serif"/>
          <w:color w:val="000000"/>
          <w:kern w:val="2"/>
          <w:szCs w:val="24"/>
          <w:lang w:eastAsia="zh-CN" w:bidi="hi-IN"/>
        </w:rPr>
        <w:t>,</w:t>
      </w:r>
      <w:r>
        <w:rPr>
          <w:rFonts w:eastAsia="Arial Unicode MS" w:cs="Liberation Serif"/>
          <w:color w:val="000000"/>
          <w:kern w:val="2"/>
          <w:szCs w:val="24"/>
          <w:lang w:eastAsia="zh-CN" w:bidi="hi-IN"/>
        </w:rPr>
        <w:t xml:space="preserve"> η διάγνωση της αρτηριακής πίεσης πρέπει να βασίζεται σε διαφορετικές μετρήσεις στο ιατρείο ή στο σπίτι ή να γίνεται περιπατητική παρακολούθηση της αρτηριακής πίεσης</w:t>
      </w:r>
      <w:r w:rsidR="00F7158D">
        <w:rPr>
          <w:rFonts w:eastAsia="Arial Unicode MS" w:cs="Liberation Serif"/>
          <w:color w:val="000000"/>
          <w:kern w:val="2"/>
          <w:szCs w:val="24"/>
          <w:lang w:eastAsia="zh-CN" w:bidi="hi-IN"/>
        </w:rPr>
        <w:t>,</w:t>
      </w:r>
      <w:r>
        <w:rPr>
          <w:rFonts w:eastAsia="Arial Unicode MS" w:cs="Liberation Serif"/>
          <w:color w:val="000000"/>
          <w:kern w:val="2"/>
          <w:szCs w:val="24"/>
          <w:lang w:eastAsia="zh-CN" w:bidi="hi-IN"/>
        </w:rPr>
        <w:t xml:space="preserve"> όπου αυτό είναι εφικτό.</w:t>
      </w:r>
    </w:p>
    <w:p w:rsidR="001B3514" w:rsidRDefault="00782E3E">
      <w:pPr>
        <w:suppressAutoHyphens/>
        <w:spacing w:after="140"/>
        <w:rPr>
          <w:rFonts w:eastAsia="Arial Unicode MS" w:cs="Arial Unicode MS"/>
          <w:kern w:val="2"/>
          <w:szCs w:val="24"/>
          <w:lang w:eastAsia="zh-CN" w:bidi="hi-IN"/>
        </w:rPr>
      </w:pPr>
      <w:r>
        <w:rPr>
          <w:rFonts w:eastAsia="Arial Unicode MS" w:cs="Liberation Serif"/>
          <w:color w:val="000000"/>
          <w:kern w:val="2"/>
          <w:szCs w:val="24"/>
          <w:lang w:eastAsia="zh-CN" w:bidi="hi-IN"/>
        </w:rPr>
        <w:t>Σύμφωνα με την Ελληνική εταιρεία μέτρησης υπέρτασης, η αντιυπερτασική θεραπεία μειώνει τον κίνδυνο για εγκεφαλικό επεισόδιο κατά 40%, τον κίνδυνο για στεφανιαία νόσο κατά 25% και για καρδιακή ανεπάρκεια κατά 50%.Το όφελος προκύπτει από τη μείωση της πίεσης και  όχι τόσο από την κατηγορία των φαρμάκων που χρησιμοποιούνται. Όσο μεγαλύτερος είναι ο καρδιαγγειακός κίνδυνος, τόσο μεγαλύτερο το όφελος από την μείωση της θεραπείας.</w:t>
      </w:r>
    </w:p>
    <w:p w:rsidR="001B3514" w:rsidRDefault="00782E3E">
      <w:pPr>
        <w:suppressAutoHyphens/>
        <w:spacing w:after="140"/>
        <w:rPr>
          <w:rFonts w:eastAsia="Arial Unicode MS" w:cs="Arial Unicode MS"/>
          <w:kern w:val="2"/>
          <w:szCs w:val="24"/>
          <w:lang w:eastAsia="zh-CN" w:bidi="hi-IN"/>
        </w:rPr>
      </w:pPr>
      <w:r>
        <w:rPr>
          <w:rFonts w:eastAsia="Arial Unicode MS" w:cs="Liberation Serif"/>
          <w:color w:val="000000"/>
          <w:kern w:val="2"/>
          <w:szCs w:val="24"/>
          <w:lang w:eastAsia="zh-CN" w:bidi="hi-IN"/>
        </w:rPr>
        <w:lastRenderedPageBreak/>
        <w:t>Με την κλινική αξιολόγηση του υπερτασικού οριστικοποιείται η διάγνωση και το στάδιο της νόσου, καθορίζεται ο ιδιοπαθής ή δευτεροπαθής χαρακτήρας της, διερευνώνται παράγοντες που ενδεχομένως να συμβάλλουν στην εμφάνισή της</w:t>
      </w:r>
      <w:r w:rsidR="00F7158D">
        <w:rPr>
          <w:rFonts w:eastAsia="Arial Unicode MS" w:cs="Liberation Serif"/>
          <w:color w:val="000000"/>
          <w:kern w:val="2"/>
          <w:szCs w:val="24"/>
          <w:lang w:eastAsia="zh-CN" w:bidi="hi-IN"/>
        </w:rPr>
        <w:t>,</w:t>
      </w:r>
      <w:r>
        <w:rPr>
          <w:rFonts w:eastAsia="Arial Unicode MS" w:cs="Liberation Serif"/>
          <w:color w:val="000000"/>
          <w:kern w:val="2"/>
          <w:szCs w:val="24"/>
          <w:lang w:eastAsia="zh-CN" w:bidi="hi-IN"/>
        </w:rPr>
        <w:t xml:space="preserve"> όπως το οικογενειακό ιστορικό</w:t>
      </w:r>
      <w:r w:rsidR="00F7158D">
        <w:rPr>
          <w:rFonts w:eastAsia="Arial Unicode MS" w:cs="Liberation Serif"/>
          <w:color w:val="000000"/>
          <w:kern w:val="2"/>
          <w:szCs w:val="24"/>
          <w:lang w:eastAsia="zh-CN" w:bidi="hi-IN"/>
        </w:rPr>
        <w:t>,</w:t>
      </w:r>
      <w:r>
        <w:rPr>
          <w:rFonts w:eastAsia="Arial Unicode MS" w:cs="Liberation Serif"/>
          <w:color w:val="000000"/>
          <w:kern w:val="2"/>
          <w:szCs w:val="24"/>
          <w:lang w:eastAsia="zh-CN" w:bidi="hi-IN"/>
        </w:rPr>
        <w:t xml:space="preserve"> ο τρόπος ζωής και η λήψη άλλων φαρμάκων, ενώ εκτιμάται η παρουσία καρδιαγγειακών και άλλων νοσημάτων, όπως και ενδείξεις για βλάβες σε όργανα-στόχους που προκλήθηκαν από την υπέρταση . </w:t>
      </w:r>
    </w:p>
    <w:p w:rsidR="001B3514" w:rsidRDefault="00782E3E">
      <w:pPr>
        <w:suppressAutoHyphens/>
        <w:spacing w:after="140"/>
        <w:rPr>
          <w:rFonts w:eastAsia="Arial Unicode MS" w:cs="Arial Unicode MS"/>
          <w:kern w:val="2"/>
          <w:szCs w:val="24"/>
          <w:lang w:eastAsia="zh-CN" w:bidi="hi-IN"/>
        </w:rPr>
      </w:pPr>
      <w:r>
        <w:rPr>
          <w:rFonts w:eastAsia="Arial Unicode MS" w:cs="Liberation Serif"/>
          <w:color w:val="000000"/>
          <w:kern w:val="2"/>
          <w:szCs w:val="24"/>
          <w:lang w:eastAsia="zh-CN" w:bidi="hi-IN"/>
        </w:rPr>
        <w:t>Σημαντικό ρόλο στην πρόγνωση του ασθενούς παίζει  τόσο το στάδιο της υπέρτασης όσο και η συνύπαρξη άλλων παραγόντων κινδύνου. Η διαστρωμάτωση των υπερτασικών με βάση τον καρδιαγγειακό κίνδυνο που διατρέχουν (Πίνακας 1) καθορίζει τον χρόνο έναρξης της θεραπείας, τη θεραπευτική στρατηγική, την εντατικοποίηση παρακολούθησης και τις παρεμβάσεις σε άλλους παράγοντες κινδύνου. Παράγοντες όπως η ηλικία(&lt; ή &gt; από 65 έτη) και η ύπαρξη συνοδών νοσημάτων, όπως ο σακχαρώδης διαβήτης, η χρόνια νεφρική νόσος και το αγγειακό εγκεφαλικό επεισόδιο</w:t>
      </w:r>
      <w:r w:rsidR="00F7158D">
        <w:rPr>
          <w:rFonts w:eastAsia="Arial Unicode MS" w:cs="Liberation Serif"/>
          <w:color w:val="000000"/>
          <w:kern w:val="2"/>
          <w:szCs w:val="24"/>
          <w:lang w:eastAsia="zh-CN" w:bidi="hi-IN"/>
        </w:rPr>
        <w:t>,</w:t>
      </w:r>
      <w:r>
        <w:rPr>
          <w:rFonts w:eastAsia="Arial Unicode MS" w:cs="Liberation Serif"/>
          <w:color w:val="000000"/>
          <w:kern w:val="2"/>
          <w:szCs w:val="24"/>
          <w:lang w:eastAsia="zh-CN" w:bidi="hi-IN"/>
        </w:rPr>
        <w:t xml:space="preserve">  καθορίζουν τον καρδιαγγειακό κίνδυνο και τον χρόνο έναρξης της  φαρμακευτικής αγωγής, ακόμα και σε τιμές &lt;140 mmHg. </w:t>
      </w:r>
    </w:p>
    <w:p w:rsidR="001B3514" w:rsidRDefault="00782E3E">
      <w:pPr>
        <w:suppressAutoHyphens/>
        <w:spacing w:after="140"/>
        <w:rPr>
          <w:rFonts w:eastAsia="Arial Unicode MS" w:cs="Liberation Serif"/>
          <w:color w:val="000000"/>
          <w:kern w:val="2"/>
          <w:szCs w:val="24"/>
          <w:lang w:eastAsia="zh-CN" w:bidi="hi-IN"/>
        </w:rPr>
      </w:pPr>
      <w:r>
        <w:rPr>
          <w:rFonts w:eastAsia="Arial Unicode MS" w:cs="Liberation Serif"/>
          <w:color w:val="000000"/>
          <w:kern w:val="2"/>
          <w:szCs w:val="24"/>
          <w:lang w:eastAsia="zh-CN" w:bidi="hi-IN"/>
        </w:rPr>
        <w:t>Για τον ευρωπαϊκό πληθυσμό συστήνεται από τις ESC/ESH  η αξιολόγηση του καρδιαγγειακού κινδύνου των υπερτασικών  με το διάγραμμα SCORE  όταν αυτοί  δεν ανήκουν σε καμιά από τις παραπάνω κατηγορίες, ώστε να γίνει διαστρωμάτωση  των ασθενών, με στόχο την περαιτέρω μείωση του καρδιαγγειακού κινδύνου( ESC, 2018). Στο μοντέλο SCORE, ο καρδιαγγειακός κίνδυνος αντιστοιχεί στον απόλυτο κίνδυνο θανάτου από καρδιαγγειακή νόσο μέσα σε 10 χρόνια, με βάση την ηλικία, το φύλο, το κάπνισμα, την ολική χοληστερίνη και την συστολική αρτηριακή πίεση. Οπότε άτομα με ίδιο βαθμό πίεσης μπορεί να διατρέχουν εντελώς διαφορετικό κίνδυνο .</w:t>
      </w:r>
    </w:p>
    <w:p w:rsidR="001B3514" w:rsidRDefault="001B3514">
      <w:pPr>
        <w:suppressAutoHyphens/>
        <w:spacing w:after="140"/>
        <w:rPr>
          <w:rFonts w:eastAsia="Arial Unicode MS" w:cs="Arial Unicode MS"/>
          <w:kern w:val="2"/>
          <w:szCs w:val="24"/>
          <w:lang w:eastAsia="zh-CN" w:bidi="hi-IN"/>
        </w:rPr>
      </w:pPr>
    </w:p>
    <w:p w:rsidR="001B3514" w:rsidRDefault="00782E3E">
      <w:pPr>
        <w:pStyle w:val="2"/>
        <w:rPr>
          <w:lang w:eastAsia="zh-CN" w:bidi="hi-IN"/>
        </w:rPr>
      </w:pPr>
      <w:bookmarkStart w:id="17" w:name="_Toc62205424"/>
      <w:bookmarkStart w:id="18" w:name="_Toc64641752"/>
      <w:r>
        <w:rPr>
          <w:lang w:eastAsia="zh-CN" w:bidi="hi-IN"/>
        </w:rPr>
        <w:t>1.5 Στρες και υπέρταση</w:t>
      </w:r>
      <w:bookmarkEnd w:id="17"/>
      <w:bookmarkEnd w:id="18"/>
    </w:p>
    <w:p w:rsidR="001B3514" w:rsidRDefault="00782E3E">
      <w:pPr>
        <w:suppressAutoHyphens/>
        <w:spacing w:after="140"/>
        <w:rPr>
          <w:rFonts w:eastAsia="Arial Unicode MS" w:cs="Arial Unicode MS"/>
          <w:kern w:val="2"/>
          <w:szCs w:val="24"/>
          <w:lang w:eastAsia="zh-CN" w:bidi="hi-IN"/>
        </w:rPr>
      </w:pPr>
      <w:r>
        <w:rPr>
          <w:rFonts w:eastAsia="Arial Unicode MS" w:cs="Liberation Serif"/>
          <w:color w:val="000000"/>
          <w:kern w:val="2"/>
          <w:szCs w:val="24"/>
          <w:lang w:eastAsia="zh-CN" w:bidi="hi-IN"/>
        </w:rPr>
        <w:t xml:space="preserve">Ως χρόνιο νόσημα η ΑΠ είναι μία νόσος που δεν θεραπεύεται οριστικά, αλλά γίνονται προσπάθειες ελέγχου με αλλαγές στον τρόπο ζωής και τη χρήση φαρμακευτικών σκευασμάτων, ώστε ο υπερτασικός ασθενής να ζήσει για μεγάλο χρονικό διάστημα μια «φυσιολογική» ζωή παρουσία της νόσου (Καραδήμας, 2005). Σήμερα η υπέρταση θεωρείται ως ο σημαντικότερος </w:t>
      </w:r>
      <w:r>
        <w:rPr>
          <w:rFonts w:eastAsia="Arial Unicode MS" w:cs="Liberation Serif"/>
          <w:color w:val="000000"/>
          <w:kern w:val="2"/>
          <w:szCs w:val="24"/>
          <w:lang w:eastAsia="zh-CN" w:bidi="hi-IN"/>
        </w:rPr>
        <w:lastRenderedPageBreak/>
        <w:t>τροποποιήσιμος παράγοντας για καρδιαγγειακό κίνδυνο (Γουδέβενος, 2019). Στόχος της θεραπείας αποτελεί λοιπόν η διαχείριση της ασθένειας, η πρόληψη πιθανής επιδείνωσης και η εξασφάλιση προϋποθέσεων για ποιοτική ζωή (Καραδήμας, 2005).</w:t>
      </w:r>
    </w:p>
    <w:p w:rsidR="001B3514" w:rsidRDefault="00782E3E">
      <w:pPr>
        <w:suppressAutoHyphens/>
        <w:spacing w:after="140"/>
        <w:rPr>
          <w:rFonts w:eastAsia="Arial Unicode MS" w:cs="Arial Unicode MS"/>
          <w:kern w:val="2"/>
          <w:szCs w:val="24"/>
          <w:lang w:eastAsia="zh-CN" w:bidi="hi-IN"/>
        </w:rPr>
      </w:pPr>
      <w:r>
        <w:rPr>
          <w:rFonts w:eastAsia="Arial Unicode MS" w:cs="Liberation Serif"/>
          <w:color w:val="000000"/>
          <w:kern w:val="2"/>
          <w:szCs w:val="24"/>
          <w:lang w:eastAsia="zh-CN" w:bidi="hi-IN"/>
        </w:rPr>
        <w:t>Πλήθος μελετών έχουν αποδείξει την άμεση σχέση συνηθειών της καθημερινής ζωής που επηρεάζουν την υγεία και συντελούν στην εμφάνιση υπέρτασης. Το κάπνισμα, η κατάχρηση οινοπνευματωδών ουσιών</w:t>
      </w:r>
      <w:r w:rsidR="00F7158D">
        <w:rPr>
          <w:rFonts w:eastAsia="Arial Unicode MS" w:cs="Liberation Serif"/>
          <w:color w:val="000000"/>
          <w:kern w:val="2"/>
          <w:szCs w:val="24"/>
          <w:lang w:eastAsia="zh-CN" w:bidi="hi-IN"/>
        </w:rPr>
        <w:t>,</w:t>
      </w:r>
      <w:r>
        <w:rPr>
          <w:rFonts w:eastAsia="Arial Unicode MS" w:cs="Liberation Serif"/>
          <w:color w:val="000000"/>
          <w:kern w:val="2"/>
          <w:szCs w:val="24"/>
          <w:lang w:eastAsia="zh-CN" w:bidi="hi-IN"/>
        </w:rPr>
        <w:t xml:space="preserve"> η υπερβολική κατανάλωση αλατιού και η απουσία σωματικής άσκησης αποτελούν συμπεριφορές σχετίζονται με  την εμφάνιση υπέρτασης. </w:t>
      </w:r>
    </w:p>
    <w:p w:rsidR="001B3514" w:rsidRDefault="00782E3E">
      <w:pPr>
        <w:suppressAutoHyphens/>
        <w:spacing w:after="140"/>
        <w:rPr>
          <w:rFonts w:eastAsia="Arial Unicode MS" w:cs="Arial Unicode MS"/>
          <w:kern w:val="2"/>
          <w:szCs w:val="24"/>
          <w:lang w:eastAsia="zh-CN" w:bidi="hi-IN"/>
        </w:rPr>
      </w:pPr>
      <w:r>
        <w:rPr>
          <w:rFonts w:eastAsia="Arial Unicode MS" w:cs="Liberation Serif"/>
          <w:color w:val="000000"/>
          <w:kern w:val="2"/>
          <w:szCs w:val="24"/>
          <w:lang w:eastAsia="zh-CN" w:bidi="hi-IN"/>
        </w:rPr>
        <w:t>Πολλές μελέτες έχουν επίσης  αποδείξει τη σχέση stress με την υπέρταση. Ορισμένοι μελετητές πιστεύουν πως η διαχείριση των καθημερινών δυσκολιών όταν υφίσταται χρόνιο στρες μπορεί, να διαταράξει την ομαλή λειτουργία του οργανισμού, καθώς οι άνθρωποι που βιώνουν χρόνιο στρες θεωρούνται σωματικά “ πιο ευάλωτοι ” στις μικρές καθημερινές δυσκολίες (Lazarus, 1984). Άλλοι πάλι ερευνητές υποστηρίζουν πως το άτομο που βιώνει χρόνιο στρες επηρεάζεται λιγότερο από τα μικροπροβλήματα όταν αντιμετωπίζει άλλα πιο σημαντικά</w:t>
      </w:r>
      <w:r w:rsidR="00F7158D">
        <w:rPr>
          <w:rFonts w:eastAsia="Arial Unicode MS" w:cs="Liberation Serif"/>
          <w:color w:val="000000"/>
          <w:kern w:val="2"/>
          <w:szCs w:val="24"/>
          <w:lang w:eastAsia="zh-CN" w:bidi="hi-IN"/>
        </w:rPr>
        <w:t>,</w:t>
      </w:r>
      <w:r>
        <w:rPr>
          <w:rFonts w:eastAsia="Arial Unicode MS" w:cs="Liberation Serif"/>
          <w:color w:val="000000"/>
          <w:kern w:val="2"/>
          <w:szCs w:val="24"/>
          <w:lang w:eastAsia="zh-CN" w:bidi="hi-IN"/>
        </w:rPr>
        <w:t xml:space="preserve"> και καθίσταται λιγότερο ευάλωτο απέναντι στις μικρές καθημερινές δυσκολίες (Casri et al., 1987).</w:t>
      </w:r>
    </w:p>
    <w:p w:rsidR="001B3514" w:rsidRDefault="00782E3E">
      <w:pPr>
        <w:suppressAutoHyphens/>
        <w:spacing w:after="140"/>
        <w:rPr>
          <w:rFonts w:eastAsia="Arial Unicode MS" w:cs="Arial Unicode MS"/>
          <w:kern w:val="2"/>
          <w:szCs w:val="24"/>
          <w:lang w:eastAsia="zh-CN" w:bidi="hi-IN"/>
        </w:rPr>
      </w:pPr>
      <w:r>
        <w:rPr>
          <w:rFonts w:eastAsia="Arial Unicode MS" w:cs="Liberation Serif"/>
          <w:color w:val="000000"/>
          <w:kern w:val="2"/>
          <w:szCs w:val="24"/>
          <w:lang w:eastAsia="zh-CN" w:bidi="hi-IN"/>
        </w:rPr>
        <w:t>Εντούτοις, φαίνεται πως υπάρχει μια διαχρονική- διαγώνια συσχέτιση ανάμεσα στον χρόνο εμφάνισης των ψυχοπιεστικών γεγονότων της ζωής και της ασθένειας. Φάνηκε λοιπόν, πως το στρες και η ασθένεια δεν εμφανίζονται ταυτόχρονα, αλλά ακολουθούν μια χρονική διαδοχή και το αποτέλεσμα είναι η μεταγενέστερη εκδήλωση της νόσου αναφορικά με την εμφάνιση του στρες. (DiMatteo, Martin, 2011).</w:t>
      </w:r>
    </w:p>
    <w:p w:rsidR="001B3514" w:rsidRDefault="00782E3E">
      <w:pPr>
        <w:suppressAutoHyphens/>
        <w:spacing w:after="140"/>
        <w:rPr>
          <w:rFonts w:eastAsia="Arial Unicode MS" w:cs="Liberation Serif"/>
          <w:color w:val="000000"/>
          <w:kern w:val="2"/>
          <w:szCs w:val="24"/>
          <w:lang w:eastAsia="zh-CN" w:bidi="hi-IN"/>
        </w:rPr>
      </w:pPr>
      <w:r>
        <w:rPr>
          <w:rFonts w:eastAsia="Arial Unicode MS" w:cs="Liberation Serif"/>
          <w:color w:val="000000"/>
          <w:kern w:val="2"/>
          <w:szCs w:val="24"/>
          <w:lang w:eastAsia="zh-CN" w:bidi="hi-IN"/>
        </w:rPr>
        <w:t>Ενδιαφέρον παρουσιάζει η έννοια της ανθεκτικότητας στο στρες, που βοηθά στην κατανόηση της διαδικασίας αντιμετώπισης του στρες. Κατά τους DiMatteo και Martin τα άτομα με υψηλή ανθεκτικότητα στο στρες προσεγγίζουν τα γεγονότα που προκαλούν αλλαγές στη ζωή τους  από τρεις συμπληρωματικές και αλληλένδετες οπτικές γωνίες: την οπτική της δέσμευσης, του ελέγχου και της πρόκλησης. Παρουσιάζονται έτσι λιγότερο επιρρεπή σε νόσους που οφείλονται σε ψυχοπιεστικές συνθήκες της ζωής και επιπλέον πάσχουν από λιγότερο σοβαρές ασθένειες, αν και τα ευρήματα αυτά πρέπει να επαληθευτούν και από περαιτέρω έρευνες (DiMatteo, Martin</w:t>
      </w:r>
      <w:r w:rsidR="00F7158D">
        <w:rPr>
          <w:rFonts w:eastAsia="Arial Unicode MS" w:cs="Liberation Serif"/>
          <w:color w:val="000000"/>
          <w:kern w:val="2"/>
          <w:szCs w:val="24"/>
          <w:lang w:eastAsia="zh-CN" w:bidi="hi-IN"/>
        </w:rPr>
        <w:t>,</w:t>
      </w:r>
      <w:r>
        <w:rPr>
          <w:rFonts w:eastAsia="Arial Unicode MS" w:cs="Liberation Serif"/>
          <w:color w:val="000000"/>
          <w:kern w:val="2"/>
          <w:szCs w:val="24"/>
          <w:lang w:eastAsia="zh-CN" w:bidi="hi-IN"/>
        </w:rPr>
        <w:t xml:space="preserve"> 2011). Εξάλλου, η δυνατότητα διατήρησης της αίσθησης του χιούμορ  κάτω από ψυχοπιεστικές συνθήκες, φαίνεται πως σχετίζεται επίσης με χαμηλότερα επίπεδα στρες (DiMatteo, Martin, 2011).</w:t>
      </w:r>
    </w:p>
    <w:p w:rsidR="001B3514" w:rsidRDefault="001B3514">
      <w:pPr>
        <w:suppressAutoHyphens/>
        <w:spacing w:after="140"/>
        <w:rPr>
          <w:rFonts w:eastAsia="Arial Unicode MS" w:cs="Liberation Serif"/>
          <w:color w:val="000000"/>
          <w:kern w:val="2"/>
          <w:szCs w:val="24"/>
          <w:lang w:eastAsia="zh-CN" w:bidi="hi-IN"/>
        </w:rPr>
      </w:pPr>
    </w:p>
    <w:p w:rsidR="001B3514" w:rsidRDefault="00782E3E">
      <w:pPr>
        <w:pStyle w:val="3"/>
        <w:rPr>
          <w:rFonts w:cs="Arial Unicode MS"/>
          <w:lang w:eastAsia="zh-CN" w:bidi="hi-IN"/>
        </w:rPr>
      </w:pPr>
      <w:bookmarkStart w:id="19" w:name="_Toc64641753"/>
      <w:r>
        <w:rPr>
          <w:lang w:eastAsia="zh-CN" w:bidi="hi-IN"/>
        </w:rPr>
        <w:t>1.5.1 Λειτουργικές αντιδράσεις στο στρες</w:t>
      </w:r>
      <w:bookmarkEnd w:id="19"/>
    </w:p>
    <w:p w:rsidR="001B3514" w:rsidRDefault="00782E3E">
      <w:pPr>
        <w:suppressAutoHyphens/>
        <w:spacing w:after="140"/>
        <w:rPr>
          <w:rFonts w:eastAsia="Arial Unicode MS" w:cs="Arial Unicode MS"/>
          <w:kern w:val="2"/>
          <w:szCs w:val="24"/>
          <w:lang w:eastAsia="zh-CN" w:bidi="hi-IN"/>
        </w:rPr>
      </w:pPr>
      <w:r>
        <w:rPr>
          <w:rFonts w:eastAsia="Arial Unicode MS" w:cs="Liberation Serif"/>
          <w:color w:val="000000"/>
          <w:kern w:val="2"/>
          <w:szCs w:val="24"/>
          <w:lang w:eastAsia="zh-CN" w:bidi="hi-IN"/>
        </w:rPr>
        <w:t>Οι λειτουργικές αντιδράσεις στο στρες επηρεάζουν την έκκριση νευροδιαβιβαστών, προκαλούν  παθολογική ενδοκρινολογική αντίδραση και διαταράσσουν την ανοσολογική ανταπόκριση του οργανισμού. Δύο είναι οι κύριοι μηχανισμοί της νευροενδοκρινολογικής απάντησης στο στρες: Ο άξονας Υποθάλαμος- Υπόφυση -Επινεφρίδια και το συμπαθητικό νευρικό σύστημα. Τα κέντρα</w:t>
      </w:r>
      <w:r>
        <w:rPr>
          <w:rFonts w:eastAsia="Arial Unicode MS" w:cs="Times New Roman"/>
          <w:color w:val="000000"/>
          <w:kern w:val="2"/>
          <w:szCs w:val="24"/>
          <w:lang w:eastAsia="zh-CN" w:bidi="hi-IN"/>
        </w:rPr>
        <w:t xml:space="preserve"> </w:t>
      </w:r>
      <w:r>
        <w:rPr>
          <w:rFonts w:eastAsia="Arial Unicode MS" w:cs="Liberation Serif"/>
          <w:color w:val="000000"/>
          <w:kern w:val="2"/>
          <w:szCs w:val="24"/>
          <w:lang w:eastAsia="zh-CN" w:bidi="hi-IN"/>
        </w:rPr>
        <w:t>βρίσκονται στον υποθάλαμο και στο στέλεχος αντίστοιχα. Περιλαμβάνουν τους νευρώνες του παρακοιλιακού πυρήνα που εκκρίνουν τις ορμόνες κορτικοτροπίνη (CRH) και αργινίνη βαζοπρεσίνη (ADH) και τους νοραδρενεργικούς νευρώνες του υπομέλανος τόπου που εκκρίνουν νορεπινεφρίνη. Το τελικό προϊόν έκκρισης του άξονα ΥΥΕ και του φυγόκεντρου συμπαθητικού συστήματος είναι η κορτιζόλη, τα επίπεδα της οποίας ελέγχονται αυστηρά από σύστημα αρνητικής παλίνδρομης ρύθμισης, ώστε να αποφευχθεί η υπερβολική και παρατεταμένη έκκρισή της που θα ήταν  καταστροφική για τον οργανισμό (Καζάκου, 2012).</w:t>
      </w:r>
    </w:p>
    <w:p w:rsidR="001B3514" w:rsidRDefault="00782E3E">
      <w:pPr>
        <w:suppressAutoHyphens/>
        <w:spacing w:after="140"/>
        <w:rPr>
          <w:rFonts w:eastAsia="Arial Unicode MS" w:cs="Arial Unicode MS"/>
          <w:kern w:val="2"/>
          <w:szCs w:val="24"/>
          <w:lang w:eastAsia="zh-CN" w:bidi="hi-IN"/>
        </w:rPr>
      </w:pPr>
      <w:r>
        <w:rPr>
          <w:rFonts w:eastAsia="Arial Unicode MS" w:cs="Liberation Serif"/>
          <w:color w:val="000000"/>
          <w:kern w:val="2"/>
          <w:szCs w:val="24"/>
          <w:lang w:eastAsia="zh-CN" w:bidi="hi-IN"/>
        </w:rPr>
        <w:t>Σε συνθήκες αυξημένου στρες παρατηρείται αύξηση της τιμής της φλοοιοεπινεφριδιοτρόπου ορμόνης, που διεγείρει το φλοιό των επινεφριδίων</w:t>
      </w:r>
      <w:r w:rsidR="00F7158D">
        <w:rPr>
          <w:rFonts w:eastAsia="Arial Unicode MS" w:cs="Liberation Serif"/>
          <w:color w:val="000000"/>
          <w:kern w:val="2"/>
          <w:szCs w:val="24"/>
          <w:lang w:eastAsia="zh-CN" w:bidi="hi-IN"/>
        </w:rPr>
        <w:t>,</w:t>
      </w:r>
      <w:r>
        <w:rPr>
          <w:rFonts w:eastAsia="Arial Unicode MS" w:cs="Liberation Serif"/>
          <w:color w:val="000000"/>
          <w:kern w:val="2"/>
          <w:szCs w:val="24"/>
          <w:lang w:eastAsia="zh-CN" w:bidi="hi-IN"/>
        </w:rPr>
        <w:t xml:space="preserve"> και ελάττωση της τεστοστερόνης και της θυρεοειδικής ορμόνης. Έχει μετρηθεί αυξημένη  σύνθεση νορεπινεφρίνης, αύξηση του κύκλου της σεροτονίνης</w:t>
      </w:r>
      <w:r w:rsidR="00F7158D">
        <w:rPr>
          <w:rFonts w:eastAsia="Arial Unicode MS" w:cs="Liberation Serif"/>
          <w:color w:val="000000"/>
          <w:kern w:val="2"/>
          <w:szCs w:val="24"/>
          <w:lang w:eastAsia="zh-CN" w:bidi="hi-IN"/>
        </w:rPr>
        <w:t>,</w:t>
      </w:r>
      <w:r w:rsidR="00F7158D" w:rsidRPr="00F7158D">
        <w:rPr>
          <w:rFonts w:eastAsia="Arial Unicode MS" w:cs="Liberation Serif"/>
          <w:color w:val="000000"/>
          <w:kern w:val="2"/>
          <w:szCs w:val="24"/>
          <w:lang w:eastAsia="zh-CN" w:bidi="hi-IN"/>
        </w:rPr>
        <w:t xml:space="preserve"> </w:t>
      </w:r>
      <w:r>
        <w:rPr>
          <w:rFonts w:eastAsia="Arial Unicode MS" w:cs="Liberation Serif"/>
          <w:color w:val="000000"/>
          <w:kern w:val="2"/>
          <w:szCs w:val="24"/>
          <w:lang w:eastAsia="zh-CN" w:bidi="hi-IN"/>
        </w:rPr>
        <w:t>που μπορεί να προκαλέσει εξάλειψή της και αυξημένη ντοπαμινεργική αντίδραση.  Επίσης, φάνηκε πως ενεργοποιείται το ανοσολογικό σύστημα, απελευθερώνοντας ορμονικούς ανοσολογικούς παράγοντες και παράλληλα ελαττώνεται η δραστηριότητα των φονικών κυττάρων. Με την ενεργοποίηση του συστήματος στρες φαίνεται πως διαφοροποιούνται  και κάποιες εγκεφαλικές λειτουργίες, όπως το συναίσθημα, η αντίληψη και η συμπεριφορά (Καζάκου, 2012).</w:t>
      </w:r>
      <w:r>
        <w:rPr>
          <w:rFonts w:eastAsia="Arial Unicode MS" w:cs="Times New Roman"/>
          <w:color w:val="000000"/>
          <w:kern w:val="2"/>
          <w:szCs w:val="24"/>
          <w:lang w:eastAsia="zh-CN" w:bidi="hi-IN"/>
        </w:rPr>
        <w:t xml:space="preserve"> </w:t>
      </w:r>
    </w:p>
    <w:p w:rsidR="001B3514" w:rsidRDefault="00782E3E">
      <w:pPr>
        <w:suppressAutoHyphens/>
        <w:spacing w:after="140"/>
        <w:rPr>
          <w:rFonts w:eastAsia="Arial Unicode MS" w:cs="Liberation Serif"/>
          <w:color w:val="000000"/>
          <w:kern w:val="2"/>
          <w:szCs w:val="24"/>
          <w:lang w:eastAsia="zh-CN" w:bidi="hi-IN"/>
        </w:rPr>
      </w:pPr>
      <w:r>
        <w:rPr>
          <w:rFonts w:eastAsia="Arial Unicode MS" w:cs="Liberation Serif"/>
          <w:color w:val="000000"/>
          <w:kern w:val="2"/>
          <w:szCs w:val="24"/>
          <w:lang w:eastAsia="zh-CN" w:bidi="hi-IN"/>
        </w:rPr>
        <w:t>Σε συνθήκες στρες καθώς  οι νευρορυθμιστικοί μηχανισμοί υφίστανται λειτουργικές μεταβολές  προκαλείται καταστολή των μηχανισμών ομοιόστασης. Φυσιολογικά, όταν ο ανθρώπινος οργανισμός βρίσκεται σε κίνδυνο, ενεργοποιείται το αυτόνομο νευρικό σύστημα ώστε να προετοιμάσει τον οργανισμό για την αντίδραση πάλης-φυγής .Πρόκειται για μια κατάσταση ετοιμότητας και συναγερμού, που χαρακτηρίζεται από παροδική αύξηση της αρτηριακής πίεσης, του καρδιακού ρυθμού</w:t>
      </w:r>
      <w:r w:rsidR="00F7158D">
        <w:rPr>
          <w:rFonts w:eastAsia="Arial Unicode MS" w:cs="Liberation Serif"/>
          <w:color w:val="000000"/>
          <w:kern w:val="2"/>
          <w:szCs w:val="24"/>
          <w:lang w:eastAsia="zh-CN" w:bidi="hi-IN"/>
        </w:rPr>
        <w:t>,</w:t>
      </w:r>
      <w:r>
        <w:rPr>
          <w:rFonts w:eastAsia="Arial Unicode MS" w:cs="Liberation Serif"/>
          <w:color w:val="000000"/>
          <w:kern w:val="2"/>
          <w:szCs w:val="24"/>
          <w:lang w:eastAsia="zh-CN" w:bidi="hi-IN"/>
        </w:rPr>
        <w:t xml:space="preserve"> της συχνότητας της αναπνοής και των επιπέδων σακχάρου στο αίμα  με  ταυτόχρονη εφίδρωση και σφίξιμο των μυών, προκειμένου το άτομο που κινδυνεύει να δώσει </w:t>
      </w:r>
      <w:r>
        <w:rPr>
          <w:rFonts w:eastAsia="Arial Unicode MS" w:cs="Liberation Serif"/>
          <w:color w:val="000000"/>
          <w:kern w:val="2"/>
          <w:szCs w:val="24"/>
          <w:lang w:eastAsia="zh-CN" w:bidi="hi-IN"/>
        </w:rPr>
        <w:lastRenderedPageBreak/>
        <w:t>μάχη ή να τραπεί σε φυγή (DiMattreo, Martin, 2011). ΄Οταν όμως επικρατούν συνθήκες χρόνιου στρες ή  όταν   δεν υπάρχει επιλογή για μια από τις δύο αυτές αντιδράσεις, μπορεί να διαταραχτούν οι μηχανισμοί ομοιόστασης του οργανισμού και να προκληθούν  οργανικές και  ψυχοσωματικές διαταραχές.</w:t>
      </w:r>
    </w:p>
    <w:p w:rsidR="001B3514" w:rsidRDefault="001B3514">
      <w:pPr>
        <w:suppressAutoHyphens/>
        <w:spacing w:after="140"/>
        <w:rPr>
          <w:rFonts w:eastAsia="Arial Unicode MS" w:cs="Arial Unicode MS"/>
          <w:kern w:val="2"/>
          <w:szCs w:val="24"/>
          <w:lang w:eastAsia="zh-CN" w:bidi="hi-IN"/>
        </w:rPr>
      </w:pPr>
    </w:p>
    <w:p w:rsidR="001B3514" w:rsidRDefault="00782E3E">
      <w:pPr>
        <w:pStyle w:val="3"/>
        <w:rPr>
          <w:rFonts w:cs="Arial Unicode MS"/>
          <w:lang w:eastAsia="zh-CN" w:bidi="hi-IN"/>
        </w:rPr>
      </w:pPr>
      <w:bookmarkStart w:id="20" w:name="_Toc64641754"/>
      <w:r>
        <w:rPr>
          <w:lang w:eastAsia="zh-CN" w:bidi="hi-IN"/>
        </w:rPr>
        <w:t>1.5.2 Στοιχεία προσωπικότητας υπερτασικών</w:t>
      </w:r>
      <w:bookmarkEnd w:id="20"/>
    </w:p>
    <w:p w:rsidR="001B3514" w:rsidRDefault="00782E3E">
      <w:pPr>
        <w:suppressAutoHyphens/>
        <w:spacing w:after="140"/>
      </w:pPr>
      <w:r>
        <w:rPr>
          <w:rFonts w:eastAsia="Arial Unicode MS" w:cs="Liberation Serif"/>
          <w:color w:val="000000"/>
          <w:kern w:val="2"/>
          <w:szCs w:val="24"/>
          <w:lang w:eastAsia="zh-CN" w:bidi="hi-IN"/>
        </w:rPr>
        <w:t>Σύμφωνα με τις επικρατέστερες θεωρίες της ψυχοσωματικής ιατρικής, ιατρικά προβλήματα, όπως η υπέρταση,  συνυπάρχουν με ψυχολογικούς παράγοντες. Οι ψυχολογικοί παράγοντες μπορεί να επηρεάσουν τη σωματική υγεία μέσω της συμπεριφοράς, καθώς άτομα με συγκεκριμένα χαρακτηριστικά προσωπικότητας μπορούν ευκολότερα να υιοθετήσουν υγιεινούς τρόπους ζωής, όπως  άσκηση,  διατροφή και διακοπή του καπνίσματος. Πρέπει εδώ να αναφερθεί πως είναι τεκμηριωμένη η συμβολή της συστηματικής φυσικής δραστηριότητας στη μείωση της συστολικής</w:t>
      </w:r>
      <w:r>
        <w:rPr>
          <w:rFonts w:eastAsia="Arial Unicode MS" w:cs="Times New Roman"/>
          <w:color w:val="000000"/>
          <w:kern w:val="2"/>
          <w:szCs w:val="24"/>
          <w:lang w:eastAsia="zh-CN" w:bidi="hi-IN"/>
        </w:rPr>
        <w:t xml:space="preserve"> </w:t>
      </w:r>
      <w:r>
        <w:rPr>
          <w:rFonts w:eastAsia="Arial Unicode MS" w:cs="Liberation Serif"/>
          <w:color w:val="000000"/>
          <w:kern w:val="2"/>
          <w:szCs w:val="24"/>
          <w:lang w:eastAsia="zh-CN" w:bidi="hi-IN"/>
        </w:rPr>
        <w:t xml:space="preserve">και της διαστολικής πίεσης σε κάθε ηλικία, και θετικά αποτελέσματα μπορεί να υπάρξουν ακόμα και με χαμηλής έντασης βάδισμα ( Ζήση, 2003). </w:t>
      </w:r>
    </w:p>
    <w:p w:rsidR="001B3514" w:rsidRDefault="00782E3E">
      <w:pPr>
        <w:suppressAutoHyphens/>
        <w:spacing w:after="140"/>
        <w:rPr>
          <w:rFonts w:eastAsia="Arial Unicode MS" w:cs="Arial Unicode MS"/>
          <w:kern w:val="2"/>
          <w:szCs w:val="24"/>
          <w:lang w:eastAsia="zh-CN" w:bidi="hi-IN"/>
        </w:rPr>
      </w:pPr>
      <w:r>
        <w:rPr>
          <w:rFonts w:eastAsia="Arial Unicode MS" w:cs="Liberation Serif"/>
          <w:color w:val="000000"/>
          <w:kern w:val="2"/>
          <w:szCs w:val="24"/>
          <w:lang w:eastAsia="zh-CN" w:bidi="hi-IN"/>
        </w:rPr>
        <w:t>Αντίστοιχα,  άτομα που θεωρούν τον κόσμο εχθρικό και έχουν άγχος, εμφανίζουν συχνότερα υψηλότερη πίεση συγκριτικά με κάποια που είναι πιο ήρεμα και χαλαρά. Πολλές συσχετίσεις έχουν γίνει αναφορικά με το φύλο, την ηλικία  αλλά και τον τύπο προσωπικότητας του υπερτασικού, που φαίνεται να σχετίζεται ποικιλοτρόπως με την εμφάνιση αρτηριακής πίεσης. Ιδιαίτερα έχουν μελετηθεί  άτομα με προσωπικότητα τύπου Α ως περισσότερο ευάλωτα για ανάπτυξη υπέρτασης. Τα άτομα αυτά έχουν  υψηλή αίσθηση καθήκοντος, αγωνιστικότητα, ώστε να επιτευχθούν οι στόχοι της ζωής, ανταγωνιστικότητα, εχθρότητα, επιθετικότητα, ανυπομονησία, αίσθημα δέσμευσης στις σχέσεις τους και εσωστρέφεια, με έντονες και απότομες ψυχοκινητικές επιδράσεις</w:t>
      </w:r>
      <w:r w:rsidR="00F7158D">
        <w:rPr>
          <w:rFonts w:eastAsia="Arial Unicode MS" w:cs="Liberation Serif"/>
          <w:color w:val="000000"/>
          <w:kern w:val="2"/>
          <w:szCs w:val="24"/>
          <w:lang w:eastAsia="zh-CN" w:bidi="hi-IN"/>
        </w:rPr>
        <w:t>,</w:t>
      </w:r>
      <w:r>
        <w:rPr>
          <w:rFonts w:eastAsia="Arial Unicode MS" w:cs="Liberation Serif"/>
          <w:color w:val="000000"/>
          <w:kern w:val="2"/>
          <w:szCs w:val="24"/>
          <w:lang w:eastAsia="zh-CN" w:bidi="hi-IN"/>
        </w:rPr>
        <w:t xml:space="preserve"> όπως γοργός τρόπος ομιλίας, υπερκινητικότητα, εγρήγορση ( σε αντίθεση με άτομα με προσωπικότητα τύπου Β</w:t>
      </w:r>
      <w:r w:rsidR="00F7158D">
        <w:rPr>
          <w:rFonts w:eastAsia="Arial Unicode MS" w:cs="Liberation Serif"/>
          <w:color w:val="000000"/>
          <w:kern w:val="2"/>
          <w:szCs w:val="24"/>
          <w:lang w:eastAsia="zh-CN" w:bidi="hi-IN"/>
        </w:rPr>
        <w:t>,</w:t>
      </w:r>
      <w:r>
        <w:rPr>
          <w:rFonts w:eastAsia="Arial Unicode MS" w:cs="Liberation Serif"/>
          <w:color w:val="000000"/>
          <w:kern w:val="2"/>
          <w:szCs w:val="24"/>
          <w:lang w:eastAsia="zh-CN" w:bidi="hi-IN"/>
        </w:rPr>
        <w:t xml:space="preserve"> που έχουν πιο ήρεμες ιδιοσυγκρασίες και κινδυνεύουν λιγότερο να νοσήσουν από υπέρταση και άλλα καρδιαγγειακά προβλήματα.) Οι Friedman και Rosenman πιστεύουν πως πίσω από τον συνεχή αγώνα των ατόμων αυτών για κοινωνική και επαγγελματική καταξίωση κρύβεται εσωτερική ανασφάλεια και έλλειψη αυτοπεποίθησης και πάντα υποβόσκει ο φόβος για αρνητική κριτική από τους άλλους ή για αυτοκριτική των αδυναμιών τους. Η εχθρότητα εκφράζεται συχνά με περιφρόνηση και </w:t>
      </w:r>
      <w:r>
        <w:rPr>
          <w:rFonts w:eastAsia="Arial Unicode MS" w:cs="Liberation Serif"/>
          <w:color w:val="000000"/>
          <w:kern w:val="2"/>
          <w:szCs w:val="24"/>
          <w:lang w:eastAsia="zh-CN" w:bidi="hi-IN"/>
        </w:rPr>
        <w:lastRenderedPageBreak/>
        <w:t>κοινωνική απομόνωση και όχι με θυμό και ένταση. Υπάρχει χρόνια υπερδιέγερση του συμπαθητικού συστήματος που οδηγεί σε αύξηση των κατεχολαμινών και των κορτικοστεροειδών, με αποτέλεσμα σύσπαση αγγείων και υπέρταση</w:t>
      </w:r>
      <w:r w:rsidR="00F7158D">
        <w:rPr>
          <w:rFonts w:eastAsia="Arial Unicode MS" w:cs="Liberation Serif"/>
          <w:color w:val="000000"/>
          <w:kern w:val="2"/>
          <w:szCs w:val="24"/>
          <w:lang w:eastAsia="zh-CN" w:bidi="hi-IN"/>
        </w:rPr>
        <w:t>,</w:t>
      </w:r>
      <w:r>
        <w:rPr>
          <w:rFonts w:eastAsia="Arial Unicode MS" w:cs="Liberation Serif"/>
          <w:color w:val="000000"/>
          <w:kern w:val="2"/>
          <w:szCs w:val="24"/>
          <w:lang w:eastAsia="zh-CN" w:bidi="hi-IN"/>
        </w:rPr>
        <w:t xml:space="preserve"> αυξημένη συγκόλληση αιμοπεταλίων και έκλυση ελεύθερων λιπαρών οξέων.</w:t>
      </w:r>
    </w:p>
    <w:p w:rsidR="001B3514" w:rsidRDefault="00782E3E">
      <w:pPr>
        <w:suppressAutoHyphens/>
        <w:spacing w:after="140"/>
        <w:rPr>
          <w:rFonts w:eastAsia="Arial Unicode MS" w:cs="Arial Unicode MS"/>
          <w:kern w:val="2"/>
          <w:szCs w:val="24"/>
          <w:lang w:eastAsia="zh-CN" w:bidi="hi-IN"/>
        </w:rPr>
      </w:pPr>
      <w:r>
        <w:rPr>
          <w:rFonts w:eastAsia="Arial Unicode MS" w:cs="Liberation Serif"/>
          <w:color w:val="000000"/>
          <w:kern w:val="2"/>
          <w:szCs w:val="24"/>
          <w:lang w:eastAsia="zh-CN" w:bidi="hi-IN"/>
        </w:rPr>
        <w:t>Αλλά και  άτομα με προσωπικότητα τύπου Γ εμφανίζουν υπέρταση όχι όμως υπό συνθήκες στρες αλλά σε περιόδους χαλάρωσης. Πρόκειται για άτομα που πιθανόν δεν έχουν μάθει να χαλαρώνουν, με αποτέλεσμα ο οργανισμός τους να εκτίθεται σε χρόνιο στρες με δυσμενείς επιπτώσεις για το καρδιαγγειακό τους σύστημα.</w:t>
      </w:r>
    </w:p>
    <w:p w:rsidR="001B3514" w:rsidRDefault="00782E3E">
      <w:pPr>
        <w:suppressAutoHyphens/>
        <w:spacing w:after="140"/>
        <w:rPr>
          <w:rFonts w:eastAsia="Arial Unicode MS" w:cs="Arial Unicode MS"/>
          <w:kern w:val="2"/>
          <w:szCs w:val="24"/>
          <w:lang w:eastAsia="zh-CN" w:bidi="hi-IN"/>
        </w:rPr>
      </w:pPr>
      <w:r>
        <w:rPr>
          <w:rFonts w:eastAsia="Arial Unicode MS" w:cs="Liberation Serif"/>
          <w:color w:val="000000"/>
          <w:kern w:val="2"/>
          <w:szCs w:val="24"/>
          <w:lang w:eastAsia="zh-CN" w:bidi="hi-IN"/>
        </w:rPr>
        <w:t>Πρόσφατα αναγνωρίστηκαν ως άτομα ευάλωτα για ανάπτυξη υπέρτασης αυτά με προσωπικότητα τύπου D. Είναι άτομα που δεν εκφράζουν εύκολα τα συναισθήματά τους</w:t>
      </w:r>
      <w:r w:rsidR="00F7158D">
        <w:rPr>
          <w:rFonts w:eastAsia="Arial Unicode MS" w:cs="Liberation Serif"/>
          <w:color w:val="000000"/>
          <w:kern w:val="2"/>
          <w:szCs w:val="24"/>
          <w:lang w:eastAsia="zh-CN" w:bidi="hi-IN"/>
        </w:rPr>
        <w:t>,</w:t>
      </w:r>
      <w:r>
        <w:rPr>
          <w:rFonts w:eastAsia="Arial Unicode MS" w:cs="Liberation Serif"/>
          <w:color w:val="000000"/>
          <w:kern w:val="2"/>
          <w:szCs w:val="24"/>
          <w:lang w:eastAsia="zh-CN" w:bidi="hi-IN"/>
        </w:rPr>
        <w:t>διακρίνονται από συστολή, χρόνια αρνητικά συναισθήματα και πεσιμισμό (Circulation: Cardiovascular Quality and Outcomes). Εμφανίζουν αυξημένα επίπεδα άγχους, ευερεθιστότητας και καταθλιπτικής διάθεσης διαχρονικά. Πιθανό δεν εκφράζονται συναισθηματικά λόγω του φόβου της κριτικής. Στα άτομα αυτά παρατηρούνται διαφορές στα επίπεδα της κορτιζόλης, της ορμόνης του στρες, που αυξάνει προσωρινά την αρτηριακή πίεση και σχετίζεται με την φλεγμονή. Εκδηλώνουν συχνά σωματοποίηση του στρες μέσα από κάποια νόσο, καθώς είναι πιο εύκολο για αυτά να αναγνωρίσουν και να διαχειριστούν τα σωματικά προβλήματα παρά τα ψυχολογικά ζητήματα (somatizer: το άτομο που αδυνατεί να εκφράσει τα αρνητικά του συναισθήματα με λόγια και τα αποκαλύπτει μέσα από μία νόσο). Επίσης, τα άτομα αυτά δεν υποβάλλονται τακτικά σε προληπτικούς ελέγχους, και έχουν κακή επικοινωνία με τους γιατρούς.</w:t>
      </w:r>
      <w:r>
        <w:br w:type="page"/>
      </w:r>
    </w:p>
    <w:p w:rsidR="001B3514" w:rsidRDefault="00782E3E">
      <w:pPr>
        <w:pStyle w:val="1"/>
        <w:rPr>
          <w:lang w:eastAsia="zh-CN" w:bidi="hi-IN"/>
        </w:rPr>
      </w:pPr>
      <w:bookmarkStart w:id="21" w:name="_Toc64641755"/>
      <w:r>
        <w:rPr>
          <w:lang w:eastAsia="zh-CN" w:bidi="hi-IN"/>
        </w:rPr>
        <w:lastRenderedPageBreak/>
        <w:t>2. Φάσεις νόσου υπέρτασης και ψυχολογική αντίδραση</w:t>
      </w:r>
      <w:bookmarkEnd w:id="21"/>
    </w:p>
    <w:p w:rsidR="001B3514" w:rsidRDefault="00782E3E">
      <w:pPr>
        <w:suppressAutoHyphens/>
        <w:spacing w:after="140"/>
        <w:rPr>
          <w:rFonts w:eastAsia="Arial Unicode MS" w:cs="Arial Unicode MS"/>
          <w:kern w:val="2"/>
          <w:szCs w:val="24"/>
          <w:lang w:eastAsia="zh-CN" w:bidi="hi-IN"/>
        </w:rPr>
      </w:pPr>
      <w:r>
        <w:rPr>
          <w:rFonts w:eastAsia="Arial Unicode MS" w:cs="Arial Unicode MS"/>
          <w:color w:val="000000"/>
          <w:kern w:val="2"/>
          <w:szCs w:val="24"/>
          <w:lang w:eastAsia="zh-CN" w:bidi="hi-IN"/>
        </w:rPr>
        <w:t>Κατά τον Doca (1993), η υπέρταση ως χρόνια νόσος, χαρακτηρίζεται εξελικτικά από φάσεις, που καθεμιά επιφέρει διαφορετικές προκλήσεις σε επίπεδο οργανικό, ψυχολογικό</w:t>
      </w:r>
      <w:r w:rsidR="00F7158D">
        <w:rPr>
          <w:rFonts w:eastAsia="Arial Unicode MS" w:cs="Arial Unicode MS"/>
          <w:color w:val="000000"/>
          <w:kern w:val="2"/>
          <w:szCs w:val="24"/>
          <w:lang w:eastAsia="zh-CN" w:bidi="hi-IN"/>
        </w:rPr>
        <w:t>,</w:t>
      </w:r>
      <w:r>
        <w:rPr>
          <w:rFonts w:eastAsia="Arial Unicode MS" w:cs="Arial Unicode MS"/>
          <w:color w:val="000000"/>
          <w:kern w:val="2"/>
          <w:szCs w:val="24"/>
          <w:lang w:eastAsia="zh-CN" w:bidi="hi-IN"/>
        </w:rPr>
        <w:t xml:space="preserve"> κοινωνικό και πνευματικό(Καραδήμας, 2005). Καθώς η Υπέρταση φαντάζει λιγότερο αποδιοργανωτική από άλλες νόσους,  οι επιπτώσεις στον οργανισμό και στη λειτουργικότητα  ποικίλουν,  ανάλογα με το στάδιο της νόσου. Ωστόσο έχουν ξεκάθαρα περιγραφεί οι φάσεις της νόσου που περιλαμβάνουν την πρωτοδιαγνωστική, την οξεία, όπου γίνεται η διάγνωση, τη χρόνια και την τελική φάση.</w:t>
      </w:r>
    </w:p>
    <w:p w:rsidR="001B3514" w:rsidRDefault="00782E3E">
      <w:pPr>
        <w:suppressAutoHyphens/>
        <w:spacing w:after="140"/>
        <w:rPr>
          <w:rFonts w:eastAsia="Arial Unicode MS" w:cs="Arial Unicode MS"/>
          <w:kern w:val="2"/>
          <w:szCs w:val="24"/>
          <w:lang w:eastAsia="zh-CN" w:bidi="hi-IN"/>
        </w:rPr>
      </w:pPr>
      <w:r>
        <w:rPr>
          <w:rFonts w:eastAsia="Arial Unicode MS" w:cs="Arial Unicode MS"/>
          <w:color w:val="000000"/>
          <w:kern w:val="2"/>
          <w:szCs w:val="24"/>
          <w:lang w:eastAsia="zh-CN" w:bidi="hi-IN"/>
        </w:rPr>
        <w:t xml:space="preserve">Στην πρωτοδιαγνωστική φάση, ο ασθενής αναγνωρίζει κάποια συμπτώματα της νόσου, όμως οι αντιδράσεις ποικίλουν από την κινητοποίηση έως την αγνόηση των συμπτωμάτων και την άρνηση της. </w:t>
      </w:r>
    </w:p>
    <w:p w:rsidR="001B3514" w:rsidRDefault="00782E3E">
      <w:pPr>
        <w:suppressAutoHyphens/>
        <w:spacing w:after="140"/>
      </w:pPr>
      <w:r>
        <w:rPr>
          <w:rFonts w:eastAsia="Arial Unicode MS" w:cs="Arial Unicode MS"/>
          <w:color w:val="000000"/>
          <w:kern w:val="2"/>
          <w:szCs w:val="24"/>
          <w:lang w:eastAsia="zh-CN" w:bidi="hi-IN"/>
        </w:rPr>
        <w:t>Στην οξεία φάση</w:t>
      </w:r>
      <w:r w:rsidR="00F7158D">
        <w:rPr>
          <w:rFonts w:eastAsia="Arial Unicode MS" w:cs="Arial Unicode MS"/>
          <w:color w:val="000000"/>
          <w:kern w:val="2"/>
          <w:szCs w:val="24"/>
          <w:lang w:eastAsia="zh-CN" w:bidi="hi-IN"/>
        </w:rPr>
        <w:t>,</w:t>
      </w:r>
      <w:r>
        <w:rPr>
          <w:rFonts w:eastAsia="Arial Unicode MS" w:cs="Arial Unicode MS"/>
          <w:color w:val="000000"/>
          <w:kern w:val="2"/>
          <w:szCs w:val="24"/>
          <w:lang w:eastAsia="zh-CN" w:bidi="hi-IN"/>
        </w:rPr>
        <w:t xml:space="preserve"> η οποία περιλαμβάνει ιατρικές πράξεις</w:t>
      </w:r>
      <w:r w:rsidR="00F7158D">
        <w:rPr>
          <w:rFonts w:eastAsia="Arial Unicode MS" w:cs="Arial Unicode MS"/>
          <w:color w:val="000000"/>
          <w:kern w:val="2"/>
          <w:szCs w:val="24"/>
          <w:lang w:eastAsia="zh-CN" w:bidi="hi-IN"/>
        </w:rPr>
        <w:t>,</w:t>
      </w:r>
      <w:r w:rsidR="00F7158D" w:rsidRPr="00F7158D">
        <w:rPr>
          <w:rFonts w:eastAsia="Arial Unicode MS" w:cs="Arial Unicode MS"/>
          <w:color w:val="000000"/>
          <w:kern w:val="2"/>
          <w:szCs w:val="24"/>
          <w:lang w:eastAsia="zh-CN" w:bidi="hi-IN"/>
        </w:rPr>
        <w:t xml:space="preserve"> </w:t>
      </w:r>
      <w:r>
        <w:rPr>
          <w:rFonts w:eastAsia="Arial Unicode MS" w:cs="Arial Unicode MS"/>
          <w:color w:val="000000"/>
          <w:kern w:val="2"/>
          <w:szCs w:val="24"/>
          <w:lang w:eastAsia="zh-CN" w:bidi="hi-IN"/>
        </w:rPr>
        <w:t>τη διάγνωση της νόσου και τη  θεραπευτική προσέγγιση το άτομο πρέπει να αντιμετωπίσει τα αρνητικά συναισθήματά του, τον φόβο</w:t>
      </w:r>
      <w:r w:rsidR="00F7158D">
        <w:rPr>
          <w:rFonts w:eastAsia="Arial Unicode MS" w:cs="Arial Unicode MS"/>
          <w:color w:val="000000"/>
          <w:kern w:val="2"/>
          <w:szCs w:val="24"/>
          <w:lang w:eastAsia="zh-CN" w:bidi="hi-IN"/>
        </w:rPr>
        <w:t>,</w:t>
      </w:r>
      <w:r>
        <w:rPr>
          <w:rFonts w:eastAsia="Arial Unicode MS" w:cs="Arial Unicode MS"/>
          <w:color w:val="000000"/>
          <w:kern w:val="2"/>
          <w:szCs w:val="24"/>
          <w:lang w:eastAsia="zh-CN" w:bidi="hi-IN"/>
        </w:rPr>
        <w:t xml:space="preserve"> το θυμό, τις ενοχές</w:t>
      </w:r>
      <w:r w:rsidR="00F7158D">
        <w:rPr>
          <w:rFonts w:eastAsia="Arial Unicode MS" w:cs="Arial Unicode MS"/>
          <w:color w:val="000000"/>
          <w:kern w:val="2"/>
          <w:szCs w:val="24"/>
          <w:lang w:eastAsia="zh-CN" w:bidi="hi-IN"/>
        </w:rPr>
        <w:t>,</w:t>
      </w:r>
      <w:r>
        <w:rPr>
          <w:rFonts w:eastAsia="Arial Unicode MS" w:cs="Arial Unicode MS"/>
          <w:color w:val="000000"/>
          <w:kern w:val="2"/>
          <w:szCs w:val="24"/>
          <w:lang w:eastAsia="zh-CN" w:bidi="hi-IN"/>
        </w:rPr>
        <w:t xml:space="preserve"> τη ζήλια για τους υγιείς,  τις ανησυχίες ή την κατάθλιψη,  και να πάρει δύσκολες και σημαντικές αποφάσεις αναφορικά με το μέλλον του. Καλείται να κατανοήσει την αρρώστια, να υιοθετήσει πιο υγιείς συμπεριφορές αναφορικά με τον τρόπο ζωής, να ενεργοποιήσει στρατηγικές για την αντιμετώπιση των νέων συνθηκών</w:t>
      </w:r>
      <w:r w:rsidR="00F7158D">
        <w:rPr>
          <w:rFonts w:eastAsia="Arial Unicode MS" w:cs="Arial Unicode MS"/>
          <w:color w:val="000000"/>
          <w:kern w:val="2"/>
          <w:szCs w:val="24"/>
          <w:lang w:eastAsia="zh-CN" w:bidi="hi-IN"/>
        </w:rPr>
        <w:t>,</w:t>
      </w:r>
      <w:r>
        <w:rPr>
          <w:rFonts w:eastAsia="Arial Unicode MS" w:cs="Arial Unicode MS"/>
          <w:color w:val="000000"/>
          <w:kern w:val="2"/>
          <w:szCs w:val="24"/>
          <w:lang w:eastAsia="zh-CN" w:bidi="hi-IN"/>
        </w:rPr>
        <w:t>να αναγνωρίσει τα συναισθήματα και τις ανησυχίες του και την επίπτωση της νόσου στην εικόνα του εαυτού του και στις σχέσεις του με  τους άλλους (Παπαδάτου et al., 2012). Άλλοι προσαρμόζονται πολύ καλά, τηρώντας τις οδηγίες και λαμβάνοντας σωστά τη φαρμακευτική αγωγή. Ελέγχουν έτσι τη νέα κατάσταση</w:t>
      </w:r>
      <w:r w:rsidR="00F7158D">
        <w:rPr>
          <w:rFonts w:eastAsia="Arial Unicode MS" w:cs="Arial Unicode MS"/>
          <w:color w:val="000000"/>
          <w:kern w:val="2"/>
          <w:szCs w:val="24"/>
          <w:lang w:eastAsia="zh-CN" w:bidi="hi-IN"/>
        </w:rPr>
        <w:t>,</w:t>
      </w:r>
      <w:r>
        <w:rPr>
          <w:rFonts w:eastAsia="Arial Unicode MS" w:cs="Arial Unicode MS"/>
          <w:color w:val="000000"/>
          <w:kern w:val="2"/>
          <w:szCs w:val="24"/>
          <w:lang w:eastAsia="zh-CN" w:bidi="hi-IN"/>
        </w:rPr>
        <w:t xml:space="preserve"> συγκεντρώνουν πληροφορίες για το πρόβλημά τους, αναθεωρούν στόχους και πεποιθήσεις. Άλλοι ωστόσο, αρνούνται την ύπαρξη νόσου, απωθώντας την, και προσποιούνται ή  παλινδρομούν.</w:t>
      </w:r>
    </w:p>
    <w:p w:rsidR="001B3514" w:rsidRDefault="00782E3E">
      <w:pPr>
        <w:suppressAutoHyphens/>
        <w:spacing w:after="140"/>
        <w:rPr>
          <w:rFonts w:eastAsia="Arial Unicode MS" w:cs="Arial Unicode MS"/>
          <w:kern w:val="2"/>
          <w:szCs w:val="24"/>
          <w:lang w:eastAsia="zh-CN" w:bidi="hi-IN"/>
        </w:rPr>
      </w:pPr>
      <w:r>
        <w:rPr>
          <w:rFonts w:eastAsia="Arial Unicode MS" w:cs="Arial Unicode MS"/>
          <w:color w:val="000000"/>
          <w:kern w:val="2"/>
          <w:szCs w:val="24"/>
          <w:lang w:eastAsia="zh-CN" w:bidi="hi-IN"/>
        </w:rPr>
        <w:t>Στη χρόνια φάση</w:t>
      </w:r>
      <w:r w:rsidR="00F7158D">
        <w:rPr>
          <w:rFonts w:eastAsia="Arial Unicode MS" w:cs="Arial Unicode MS"/>
          <w:color w:val="000000"/>
          <w:kern w:val="2"/>
          <w:szCs w:val="24"/>
          <w:lang w:eastAsia="zh-CN" w:bidi="hi-IN"/>
        </w:rPr>
        <w:t>,</w:t>
      </w:r>
      <w:r>
        <w:rPr>
          <w:rFonts w:eastAsia="Arial Unicode MS" w:cs="Arial Unicode MS"/>
          <w:color w:val="000000"/>
          <w:kern w:val="2"/>
          <w:szCs w:val="24"/>
          <w:lang w:eastAsia="zh-CN" w:bidi="hi-IN"/>
        </w:rPr>
        <w:t xml:space="preserve"> που  διαρκεί από τη διάγνωση μέχρι την τελική έκβαση της ασθένειας, ο υπερτασικός ασθενής  επιδιώκει να εξασφαλίσει ΄ποιότητα ζωής΄ μέσα στα πλαίσια της νόσου. Οι νέες  προκλήσεις που καλείται να αντιμετωπίσει  αφορούν στη εξασφάλιση ενός φυσιολογικού ρυθμού και ποιότητας ζωής, στην τήρηση των ιατρονοσηλευτικών οδηγιών και στην ενεργοποίηση ενός υποστηρικτικού δικτύου με ταυτόχρονο περιορισμό της κοινωνικής </w:t>
      </w:r>
      <w:r>
        <w:rPr>
          <w:rFonts w:eastAsia="Arial Unicode MS" w:cs="Arial Unicode MS"/>
          <w:color w:val="000000"/>
          <w:kern w:val="2"/>
          <w:szCs w:val="24"/>
          <w:lang w:eastAsia="zh-CN" w:bidi="hi-IN"/>
        </w:rPr>
        <w:lastRenderedPageBreak/>
        <w:t>απομόνωσης. Ταυτόχρονα η κατανόηση της εξέλιξης της υγείας και της προτεινόμενης θεραπευτικής αγωγής, η διαχείριση των συναισθημάτων και των ανησυχιών και η αναγνώριση των επιπτώσεων της ασθένειας στην εικόνα του εαυτού του και στις σχέσεις του με τους άλλους εξακολουθούν να υφίστανται και σε αυτό το στάδιο της νόσου (Παπαδάτου et al., 2012).</w:t>
      </w:r>
    </w:p>
    <w:p w:rsidR="001B3514" w:rsidRDefault="00782E3E">
      <w:pPr>
        <w:suppressAutoHyphens/>
        <w:spacing w:after="140"/>
        <w:rPr>
          <w:rFonts w:eastAsia="Arial Unicode MS" w:cs="Arial Unicode MS"/>
          <w:kern w:val="2"/>
          <w:szCs w:val="24"/>
          <w:lang w:eastAsia="zh-CN" w:bidi="hi-IN"/>
        </w:rPr>
      </w:pPr>
      <w:r>
        <w:rPr>
          <w:rFonts w:eastAsia="Arial Unicode MS" w:cs="Arial Unicode MS"/>
          <w:color w:val="000000"/>
          <w:kern w:val="2"/>
          <w:szCs w:val="24"/>
          <w:lang w:eastAsia="zh-CN" w:bidi="hi-IN"/>
        </w:rPr>
        <w:t>Ωστόσο, η κατάταξη αυτή δε βρίσκει σύμφωνους όλους τους  ερευνητές . Οι Livneh  και Antonak (1997) για παράδειγμα</w:t>
      </w:r>
      <w:r w:rsidR="00F7158D">
        <w:rPr>
          <w:rFonts w:eastAsia="Arial Unicode MS" w:cs="Arial Unicode MS"/>
          <w:color w:val="000000"/>
          <w:kern w:val="2"/>
          <w:szCs w:val="24"/>
          <w:lang w:eastAsia="zh-CN" w:bidi="hi-IN"/>
        </w:rPr>
        <w:t>,</w:t>
      </w:r>
      <w:r>
        <w:rPr>
          <w:rFonts w:eastAsia="Arial Unicode MS" w:cs="Arial Unicode MS"/>
          <w:color w:val="000000"/>
          <w:kern w:val="2"/>
          <w:szCs w:val="24"/>
          <w:lang w:eastAsia="zh-CN" w:bidi="hi-IN"/>
        </w:rPr>
        <w:t xml:space="preserve"> θεωρούν πως η προσαρμογή σε μια χρόνια ασθένεια δε συμβαίνει με τον ίδιο τρόπο ούτε με την ίδια σειρά σε όλους. Αναγνωρίζουν την ύπαρξη τεσσάρων μεταβλητών</w:t>
      </w:r>
      <w:r w:rsidR="00F7158D">
        <w:rPr>
          <w:rFonts w:eastAsia="Arial Unicode MS" w:cs="Arial Unicode MS"/>
          <w:color w:val="000000"/>
          <w:kern w:val="2"/>
          <w:szCs w:val="24"/>
          <w:lang w:eastAsia="zh-CN" w:bidi="hi-IN"/>
        </w:rPr>
        <w:t>,</w:t>
      </w:r>
      <w:r>
        <w:rPr>
          <w:rFonts w:eastAsia="Arial Unicode MS" w:cs="Arial Unicode MS"/>
          <w:color w:val="000000"/>
          <w:kern w:val="2"/>
          <w:szCs w:val="24"/>
          <w:lang w:eastAsia="zh-CN" w:bidi="hi-IN"/>
        </w:rPr>
        <w:t xml:space="preserve"> που σχετίζονται με την προσαρμογή στη χρόνια νόσο και αφορούν στην ίδια την ασθένεια, σε κοινωνικο-δημογραφικά στοιχεία, σε ατομικές διαφορές και σε κοινωνικο-περιβαλλοντικά στοιχεία. Αυτές οι μεταβλητές αλληλεπιδρούν συνεχώς και μεταβάλλονται διαρκώς (Καραδήμας, 2005). Αναπτύσσονται συναισθήματα άγχους και κατάθλιψης αλλά και αποδοχής και ενσωμάτωσης της καινούργιας κατάστασης που δεν είναι σταθερά αλλά αλλάζουν στο πλαίσιο μιας συνεχούς αλληλεπίδρασης των παραπάνω μεταβλητών με σκοπό την επαναπροσαρμογή στην χρόνια ασθένεια (Καραδήμας, 2005).</w:t>
      </w:r>
    </w:p>
    <w:p w:rsidR="001B3514" w:rsidRDefault="001B3514">
      <w:pPr>
        <w:suppressAutoHyphens/>
        <w:spacing w:after="140"/>
        <w:rPr>
          <w:rFonts w:eastAsia="Arial Unicode MS" w:cs="Arial Unicode MS"/>
          <w:b/>
          <w:bCs/>
          <w:color w:val="000000"/>
          <w:kern w:val="2"/>
          <w:szCs w:val="24"/>
          <w:lang w:eastAsia="zh-CN" w:bidi="hi-IN"/>
        </w:rPr>
      </w:pPr>
    </w:p>
    <w:p w:rsidR="001B3514" w:rsidRDefault="00782E3E">
      <w:pPr>
        <w:pStyle w:val="2"/>
        <w:rPr>
          <w:lang w:bidi="hi-IN"/>
        </w:rPr>
      </w:pPr>
      <w:bookmarkStart w:id="22" w:name="_Toc64641756"/>
      <w:r>
        <w:t xml:space="preserve">2.1 </w:t>
      </w:r>
      <w:r>
        <w:rPr>
          <w:lang w:bidi="hi-IN"/>
        </w:rPr>
        <w:t>Προσαρμογή στην χρόνια νόσο - Κοινωνικογνωστικά σχήματα -μοντέλα νόσου</w:t>
      </w:r>
      <w:bookmarkEnd w:id="22"/>
    </w:p>
    <w:p w:rsidR="001B3514" w:rsidRDefault="00782E3E">
      <w:pPr>
        <w:suppressAutoHyphens/>
        <w:spacing w:after="140"/>
        <w:rPr>
          <w:rFonts w:eastAsia="Arial Unicode MS" w:cs="Arial Unicode MS"/>
          <w:kern w:val="2"/>
          <w:szCs w:val="24"/>
          <w:lang w:eastAsia="zh-CN" w:bidi="hi-IN"/>
        </w:rPr>
      </w:pPr>
      <w:r>
        <w:rPr>
          <w:rFonts w:eastAsia="Arial Unicode MS" w:cs="Arial Unicode MS"/>
          <w:color w:val="000000"/>
          <w:kern w:val="2"/>
          <w:szCs w:val="24"/>
          <w:lang w:eastAsia="zh-CN" w:bidi="hi-IN"/>
        </w:rPr>
        <w:t>Κατά τους Stewart, Ross και  Hartley (2004), η προσαρμογή σε μια χρόνια ασθένεια είναι βιολογική, κοινωνική, συναισθηματική, πνευματική και συμπεριφορική. Θέματα κόπωσης, λειτουργικότητας, παρενέργειες αγωγής και προσαρμογής στην εξέλιξη της ασθένειας, οικογενειακές και φιλικές  σχέσεις όπως και σχέσεις που αναπτύσσονται με το προσωπικό υγείας, αλλά και η στάση του ασθενούς αναφορικά με  την εικόνα του, την αυτοεκτίμηση και τον επαναπροσδιορισμό στόχων και προσδοκιών</w:t>
      </w:r>
      <w:r w:rsidR="00F7158D">
        <w:rPr>
          <w:rFonts w:eastAsia="Arial Unicode MS" w:cs="Arial Unicode MS"/>
          <w:color w:val="000000"/>
          <w:kern w:val="2"/>
          <w:szCs w:val="24"/>
          <w:lang w:eastAsia="zh-CN" w:bidi="hi-IN"/>
        </w:rPr>
        <w:t>,</w:t>
      </w:r>
      <w:r>
        <w:rPr>
          <w:rFonts w:eastAsia="Arial Unicode MS" w:cs="Arial Unicode MS"/>
          <w:color w:val="000000"/>
          <w:kern w:val="2"/>
          <w:szCs w:val="24"/>
          <w:lang w:eastAsia="zh-CN" w:bidi="hi-IN"/>
        </w:rPr>
        <w:t xml:space="preserve">η εύρεση νοήματος στην όλη εμπειρία, και τέλος η συμμόρφωση και η  παρακολούθηση της εξέλιξης της νόσου αποτελούν παράγοντες που μαζί με ζητήματα επαγγελματικής υφής είναι αλληλένδετοι και επηρεάζουν άμεσα ο ένας τον άλλο.  </w:t>
      </w:r>
      <w:r>
        <w:rPr>
          <w:rFonts w:eastAsia="Liberation Serif" w:cs="Liberation Serif"/>
          <w:color w:val="000000"/>
          <w:kern w:val="2"/>
          <w:szCs w:val="24"/>
          <w:lang w:eastAsia="zh-CN" w:bidi="hi-IN"/>
        </w:rPr>
        <w:t xml:space="preserve"> </w:t>
      </w:r>
    </w:p>
    <w:p w:rsidR="001B3514" w:rsidRDefault="00782E3E">
      <w:pPr>
        <w:suppressAutoHyphens/>
        <w:spacing w:after="140"/>
        <w:rPr>
          <w:rFonts w:eastAsia="Arial Unicode MS" w:cs="Arial Unicode MS"/>
          <w:kern w:val="2"/>
          <w:szCs w:val="24"/>
          <w:lang w:eastAsia="zh-CN" w:bidi="hi-IN"/>
        </w:rPr>
      </w:pPr>
      <w:r>
        <w:rPr>
          <w:rFonts w:eastAsia="Liberation Serif" w:cs="Liberation Serif"/>
          <w:color w:val="000000"/>
          <w:kern w:val="2"/>
          <w:szCs w:val="24"/>
          <w:lang w:eastAsia="zh-CN" w:bidi="hi-IN"/>
        </w:rPr>
        <w:t>Διαφορετικές</w:t>
      </w:r>
      <w:r>
        <w:rPr>
          <w:rFonts w:eastAsia="Arial Unicode MS" w:cs="Liberation Serif"/>
          <w:color w:val="000000"/>
          <w:kern w:val="2"/>
          <w:szCs w:val="24"/>
          <w:lang w:eastAsia="zh-CN" w:bidi="hi-IN"/>
        </w:rPr>
        <w:t xml:space="preserve"> θεωρίες έχουν κατά καιρούς προταθεί  προκειμένου να γίνει αντιληπτός ο τρόπος που αντιλαμβανόμαστε  την κατάσταση της υγείας μας και τους παράγοντες που καθορίζουν τις συμπεριφορές υγείας.</w:t>
      </w:r>
    </w:p>
    <w:p w:rsidR="001B3514" w:rsidRDefault="00782E3E">
      <w:pPr>
        <w:suppressAutoHyphens/>
        <w:spacing w:after="140"/>
      </w:pPr>
      <w:r>
        <w:rPr>
          <w:rFonts w:eastAsia="Arial Unicode MS" w:cs="Liberation Serif"/>
          <w:color w:val="000000"/>
          <w:kern w:val="2"/>
          <w:szCs w:val="24"/>
          <w:lang w:eastAsia="zh-CN" w:bidi="hi-IN"/>
        </w:rPr>
        <w:lastRenderedPageBreak/>
        <w:t xml:space="preserve">Αρχικά ο Becker (1974) ανέπτυξε το </w:t>
      </w:r>
      <w:r>
        <w:rPr>
          <w:rFonts w:eastAsia="Arial Unicode MS" w:cs="Liberation Serif"/>
          <w:i/>
          <w:iCs/>
          <w:color w:val="000000"/>
          <w:kern w:val="2"/>
          <w:szCs w:val="24"/>
          <w:lang w:eastAsia="zh-CN" w:bidi="hi-IN"/>
        </w:rPr>
        <w:t xml:space="preserve">μοντέλο πεποιθήσεων για την υγεία, </w:t>
      </w:r>
      <w:r>
        <w:rPr>
          <w:rFonts w:eastAsia="Arial Unicode MS" w:cs="Liberation Serif"/>
          <w:color w:val="000000"/>
          <w:kern w:val="2"/>
          <w:szCs w:val="24"/>
          <w:lang w:eastAsia="zh-CN" w:bidi="hi-IN"/>
        </w:rPr>
        <w:t>που εισάγει  την αντίληψη της ευπάθειας και των συνεπειών της απέναντι στην απειλή της ασθένειας. Αξιολογώντας τα οφέλη και το κόστος, το άτομο ωθείται σε ανάληψη δράσης (Καραδήμας</w:t>
      </w:r>
      <w:r w:rsidR="00F7158D">
        <w:rPr>
          <w:rFonts w:eastAsia="Arial Unicode MS" w:cs="Liberation Serif"/>
          <w:color w:val="000000"/>
          <w:kern w:val="2"/>
          <w:szCs w:val="24"/>
          <w:lang w:eastAsia="zh-CN" w:bidi="hi-IN"/>
        </w:rPr>
        <w:t>,</w:t>
      </w:r>
      <w:r>
        <w:rPr>
          <w:rFonts w:eastAsia="Arial Unicode MS" w:cs="Liberation Serif"/>
          <w:color w:val="000000"/>
          <w:kern w:val="2"/>
          <w:szCs w:val="24"/>
          <w:lang w:eastAsia="zh-CN" w:bidi="hi-IN"/>
        </w:rPr>
        <w:t xml:space="preserve"> 2005). Η μελέτη της συμπεριφοράς του ατόμου</w:t>
      </w:r>
      <w:r w:rsidR="00F7158D">
        <w:rPr>
          <w:rFonts w:eastAsia="Arial Unicode MS" w:cs="Liberation Serif"/>
          <w:color w:val="000000"/>
          <w:kern w:val="2"/>
          <w:szCs w:val="24"/>
          <w:lang w:eastAsia="zh-CN" w:bidi="hi-IN"/>
        </w:rPr>
        <w:t>,</w:t>
      </w:r>
      <w:r>
        <w:rPr>
          <w:rFonts w:eastAsia="Arial Unicode MS" w:cs="Liberation Serif"/>
          <w:color w:val="000000"/>
          <w:kern w:val="2"/>
          <w:szCs w:val="24"/>
          <w:lang w:eastAsia="zh-CN" w:bidi="hi-IN"/>
        </w:rPr>
        <w:t xml:space="preserve"> τουλάχιστον για πράξεις που βρίσκονται υπό τον έλεγχό του</w:t>
      </w:r>
      <w:r w:rsidR="00F7158D">
        <w:rPr>
          <w:rFonts w:eastAsia="Arial Unicode MS" w:cs="Liberation Serif"/>
          <w:color w:val="000000"/>
          <w:kern w:val="2"/>
          <w:szCs w:val="24"/>
          <w:lang w:eastAsia="zh-CN" w:bidi="hi-IN"/>
        </w:rPr>
        <w:t>,</w:t>
      </w:r>
      <w:r>
        <w:rPr>
          <w:rFonts w:eastAsia="Arial Unicode MS" w:cs="Liberation Serif"/>
          <w:color w:val="000000"/>
          <w:kern w:val="2"/>
          <w:szCs w:val="24"/>
          <w:lang w:eastAsia="zh-CN" w:bidi="hi-IN"/>
        </w:rPr>
        <w:t xml:space="preserve"> αφορούν το </w:t>
      </w:r>
      <w:r>
        <w:rPr>
          <w:rFonts w:eastAsia="Arial Unicode MS" w:cs="Liberation Serif"/>
          <w:i/>
          <w:iCs/>
          <w:color w:val="000000"/>
          <w:kern w:val="2"/>
          <w:szCs w:val="24"/>
          <w:lang w:eastAsia="zh-CN" w:bidi="hi-IN"/>
        </w:rPr>
        <w:t xml:space="preserve">μοντέλο της προσχεδιασμένης συμπεριφοράς .Η θεωρία των </w:t>
      </w:r>
      <w:r>
        <w:rPr>
          <w:rFonts w:eastAsia="Arial Unicode MS" w:cs="Liberation Serif"/>
          <w:color w:val="000000"/>
          <w:kern w:val="2"/>
          <w:szCs w:val="24"/>
          <w:lang w:eastAsia="zh-CN" w:bidi="hi-IN"/>
        </w:rPr>
        <w:t>σταδίων</w:t>
      </w:r>
      <w:r>
        <w:rPr>
          <w:rFonts w:eastAsia="Arial Unicode MS" w:cs="Liberation Serif"/>
          <w:i/>
          <w:iCs/>
          <w:color w:val="000000"/>
          <w:kern w:val="2"/>
          <w:szCs w:val="24"/>
          <w:lang w:eastAsia="zh-CN" w:bidi="hi-IN"/>
        </w:rPr>
        <w:t xml:space="preserve"> αλλαγής </w:t>
      </w:r>
      <w:r>
        <w:rPr>
          <w:rFonts w:eastAsia="Arial Unicode MS" w:cs="Liberation Serif"/>
          <w:color w:val="000000"/>
          <w:kern w:val="2"/>
          <w:szCs w:val="24"/>
          <w:lang w:eastAsia="zh-CN" w:bidi="hi-IN"/>
        </w:rPr>
        <w:t xml:space="preserve">περιγράφει τα έξι στάδια που διέρχεται το άτομο προκειμένου να κρατήσει σταθερή μια αλλαγή στον τρόπο της ζωής του ή μια νέα συμπεριφορά. </w:t>
      </w:r>
    </w:p>
    <w:p w:rsidR="001B3514" w:rsidRDefault="00782E3E">
      <w:pPr>
        <w:suppressAutoHyphens/>
        <w:spacing w:after="140"/>
        <w:rPr>
          <w:rFonts w:eastAsia="Arial Unicode MS" w:cs="Arial Unicode MS"/>
          <w:kern w:val="2"/>
          <w:szCs w:val="24"/>
          <w:lang w:eastAsia="zh-CN" w:bidi="hi-IN"/>
        </w:rPr>
      </w:pPr>
      <w:r>
        <w:rPr>
          <w:rFonts w:eastAsia="Arial Unicode MS" w:cs="Liberation Serif"/>
          <w:i/>
          <w:iCs/>
          <w:color w:val="000000"/>
          <w:kern w:val="2"/>
          <w:szCs w:val="24"/>
          <w:lang w:eastAsia="zh-CN" w:bidi="hi-IN"/>
        </w:rPr>
        <w:t>Η</w:t>
      </w:r>
      <w:r>
        <w:rPr>
          <w:rFonts w:eastAsia="Arial Unicode MS" w:cs="Liberation Serif"/>
          <w:color w:val="000000"/>
          <w:kern w:val="2"/>
          <w:szCs w:val="24"/>
          <w:lang w:eastAsia="zh-CN" w:bidi="hi-IN"/>
        </w:rPr>
        <w:t xml:space="preserve"> </w:t>
      </w:r>
      <w:r>
        <w:rPr>
          <w:rFonts w:eastAsia="Arial Unicode MS" w:cs="Liberation Serif"/>
          <w:i/>
          <w:iCs/>
          <w:color w:val="000000"/>
          <w:kern w:val="2"/>
          <w:szCs w:val="24"/>
          <w:lang w:eastAsia="zh-CN" w:bidi="hi-IN"/>
        </w:rPr>
        <w:t>θεωρία της κοινωνικής μάθησης,</w:t>
      </w:r>
      <w:r>
        <w:rPr>
          <w:rFonts w:eastAsia="Arial Unicode MS" w:cs="Liberation Serif"/>
          <w:color w:val="000000"/>
          <w:kern w:val="2"/>
          <w:szCs w:val="24"/>
          <w:lang w:eastAsia="zh-CN" w:bidi="hi-IN"/>
        </w:rPr>
        <w:t xml:space="preserve"> προσβλέπει στην κατανόηση  της αλληλεπίδρασης ατομικών παραγόντων</w:t>
      </w:r>
      <w:r w:rsidR="00F7158D">
        <w:rPr>
          <w:rFonts w:eastAsia="Arial Unicode MS" w:cs="Liberation Serif"/>
          <w:color w:val="000000"/>
          <w:kern w:val="2"/>
          <w:szCs w:val="24"/>
          <w:lang w:eastAsia="zh-CN" w:bidi="hi-IN"/>
        </w:rPr>
        <w:t>,</w:t>
      </w:r>
      <w:r w:rsidR="00F7158D" w:rsidRPr="00F7158D">
        <w:rPr>
          <w:rFonts w:eastAsia="Arial Unicode MS" w:cs="Liberation Serif"/>
          <w:color w:val="000000"/>
          <w:kern w:val="2"/>
          <w:szCs w:val="24"/>
          <w:lang w:eastAsia="zh-CN" w:bidi="hi-IN"/>
        </w:rPr>
        <w:t xml:space="preserve"> </w:t>
      </w:r>
      <w:r>
        <w:rPr>
          <w:rFonts w:eastAsia="Arial Unicode MS" w:cs="Liberation Serif"/>
          <w:color w:val="000000"/>
          <w:kern w:val="2"/>
          <w:szCs w:val="24"/>
          <w:lang w:eastAsia="zh-CN" w:bidi="hi-IN"/>
        </w:rPr>
        <w:t>συμπεριφοράς και περιβάλλοντος. Προσδίδοντας διάφορες ερμηνείες για την εμφάνιση της νόσου, το άτομο υιοθετεί μια παθητική ή ενεργητική στάση απέναντι στη νόσο, επηρεάζοντας τελικά την έκβασή της . Μπορεί δηλ. να θεωρεί προσωπικές αδυναμίες ως αίτια της νόσου ή αντίθετα εξωτερικούς παράγοντες, κοινωνικούς ή περιβαλλοντικούς. Μπορεί να θεωρεί την νόσο ως μια αμετάβλητη ή ως μια διαλείπουσα κατάσταση ενώ δύναται να πιστεύει πως οι επιπτώσεις της έχουν αντίκτυπο σε κάθε πτυχή της ζωής του ή απλά τον περιορίζουν σε κάποια σημεία. Υιοθετεί με τον τρόπο αυτό μια απαισιόδοξη ή αισιόδοξη ερμηνεία της νόσου. (Πάσχος</w:t>
      </w:r>
      <w:r w:rsidR="00F7158D">
        <w:rPr>
          <w:rFonts w:eastAsia="Arial Unicode MS" w:cs="Liberation Serif"/>
          <w:color w:val="000000"/>
          <w:kern w:val="2"/>
          <w:szCs w:val="24"/>
          <w:lang w:eastAsia="zh-CN" w:bidi="hi-IN"/>
        </w:rPr>
        <w:t>,</w:t>
      </w:r>
      <w:r>
        <w:rPr>
          <w:rFonts w:eastAsia="Arial Unicode MS" w:cs="Liberation Serif"/>
          <w:color w:val="000000"/>
          <w:kern w:val="2"/>
          <w:szCs w:val="24"/>
          <w:lang w:eastAsia="zh-CN" w:bidi="hi-IN"/>
        </w:rPr>
        <w:t xml:space="preserve"> 2018) </w:t>
      </w:r>
    </w:p>
    <w:p w:rsidR="001B3514" w:rsidRDefault="00782E3E">
      <w:pPr>
        <w:suppressAutoHyphens/>
        <w:spacing w:after="140"/>
      </w:pPr>
      <w:r>
        <w:rPr>
          <w:rFonts w:eastAsia="Arial Unicode MS" w:cs="Liberation Serif"/>
          <w:color w:val="000000"/>
          <w:kern w:val="2"/>
          <w:szCs w:val="24"/>
          <w:lang w:eastAsia="zh-CN" w:bidi="hi-IN"/>
        </w:rPr>
        <w:t>Οι Leventhal και συν (2001, 2003)όρισαν τα γνωστικά σχήματα για την ασθένεια ως ¨</w:t>
      </w:r>
      <w:r>
        <w:rPr>
          <w:rFonts w:eastAsia="Arial Unicode MS" w:cs="Liberation Serif"/>
          <w:i/>
          <w:iCs/>
          <w:color w:val="000000"/>
          <w:kern w:val="2"/>
          <w:szCs w:val="24"/>
          <w:lang w:eastAsia="zh-CN" w:bidi="hi-IN"/>
        </w:rPr>
        <w:t>τα προσωπικά πιστεύω του ασθενούς για την ασθένειά του που υπαγορεύονται από την κοινή λογική”</w:t>
      </w:r>
      <w:r>
        <w:rPr>
          <w:rFonts w:eastAsia="Arial Unicode MS" w:cs="Liberation Serif"/>
          <w:color w:val="000000"/>
          <w:kern w:val="2"/>
          <w:szCs w:val="24"/>
          <w:lang w:eastAsia="zh-CN" w:bidi="hi-IN"/>
        </w:rPr>
        <w:t xml:space="preserve"> . Τα γνωστικά σχήματα προσφέρουν κατά τους ίδιους μελετητές ένα πλαίσιο ώστε ¨οι ασθενείς να αντιμετωπίζουν και να κατανοούν την ασθένειά τους . Η ονομασία της νόσου, η αντιλαμβανόμενη αιτία της</w:t>
      </w:r>
      <w:r w:rsidR="00F7158D">
        <w:rPr>
          <w:rFonts w:eastAsia="Arial Unicode MS" w:cs="Liberation Serif"/>
          <w:color w:val="000000"/>
          <w:kern w:val="2"/>
          <w:szCs w:val="24"/>
          <w:lang w:eastAsia="zh-CN" w:bidi="hi-IN"/>
        </w:rPr>
        <w:t>,</w:t>
      </w:r>
      <w:r>
        <w:rPr>
          <w:rFonts w:eastAsia="Arial Unicode MS" w:cs="Liberation Serif"/>
          <w:color w:val="000000"/>
          <w:kern w:val="2"/>
          <w:szCs w:val="24"/>
          <w:lang w:eastAsia="zh-CN" w:bidi="hi-IN"/>
        </w:rPr>
        <w:t xml:space="preserve"> η χρονική διάρκειά της, οι πιθανές συνέπειες της ασθένειας και η δυνατότητα θεραπείας και ελέγχου συνθέτουν κατά τους Levenhal και συν. το </w:t>
      </w:r>
      <w:r>
        <w:rPr>
          <w:rFonts w:eastAsia="Arial Unicode MS" w:cs="Liberation Serif"/>
          <w:i/>
          <w:iCs/>
          <w:color w:val="000000"/>
          <w:kern w:val="2"/>
          <w:szCs w:val="24"/>
          <w:lang w:eastAsia="zh-CN" w:bidi="hi-IN"/>
        </w:rPr>
        <w:t>μοντέλο της κοινής λογικής.</w:t>
      </w:r>
      <w:r>
        <w:rPr>
          <w:rFonts w:eastAsia="Arial Unicode MS" w:cs="Liberation Serif"/>
          <w:color w:val="000000"/>
          <w:kern w:val="2"/>
          <w:szCs w:val="24"/>
          <w:lang w:eastAsia="zh-CN" w:bidi="hi-IN"/>
        </w:rPr>
        <w:t>Στο παρόν μοντέλο η αναπαράσταση της νόσου λαμβάνει γνωστικές και συναισθηματικές αντιληπτικές διεργασίες και περιεχόμενα (Καραδήμας, 2005).</w:t>
      </w:r>
    </w:p>
    <w:p w:rsidR="001B3514" w:rsidRDefault="00782E3E">
      <w:pPr>
        <w:suppressAutoHyphens/>
        <w:spacing w:after="140"/>
        <w:rPr>
          <w:rFonts w:eastAsia="Arial Unicode MS" w:cs="Arial Unicode MS"/>
          <w:kern w:val="2"/>
          <w:szCs w:val="24"/>
          <w:lang w:eastAsia="zh-CN" w:bidi="hi-IN"/>
        </w:rPr>
      </w:pPr>
      <w:r>
        <w:rPr>
          <w:rFonts w:eastAsia="Arial Unicode MS" w:cs="Arial Unicode MS"/>
          <w:color w:val="000000"/>
          <w:kern w:val="2"/>
          <w:szCs w:val="24"/>
          <w:lang w:eastAsia="zh-CN" w:bidi="hi-IN"/>
        </w:rPr>
        <w:t xml:space="preserve">Οι Taylor και συν (1983) ανέπτυξαν το εναλλακτικό μοντέλο   της γνωστικής  προσαρμογής στη νόσο που αφορά στην προσπάθεια των ασθενών  α)να βρουν  ένα νόημα στην ασθένειά τους, β) να επανακτήσουν μια αίσθηση ελέγχου και γ) να αποκαταστήσουν την αυτοεκτίμησή τους.  </w:t>
      </w:r>
    </w:p>
    <w:p w:rsidR="001B3514" w:rsidRDefault="00782E3E">
      <w:pPr>
        <w:suppressAutoHyphens/>
        <w:spacing w:after="140"/>
        <w:rPr>
          <w:rFonts w:eastAsia="Arial Unicode MS" w:cs="Arial Unicode MS"/>
          <w:kern w:val="2"/>
          <w:szCs w:val="24"/>
          <w:lang w:eastAsia="zh-CN" w:bidi="hi-IN"/>
        </w:rPr>
      </w:pPr>
      <w:r>
        <w:rPr>
          <w:rFonts w:eastAsia="Arial Unicode MS" w:cs="Liberation Serif"/>
          <w:color w:val="000000"/>
          <w:kern w:val="2"/>
          <w:szCs w:val="24"/>
          <w:lang w:eastAsia="zh-CN" w:bidi="hi-IN"/>
        </w:rPr>
        <w:t>Το ζητούμενο είναι η υιοθέτηση ενός «φυσιολογικού» ρυθμού  ζωής που θα εξασφαλίσει στον ασθενή ασφάλεια και ιδανικά “ποιότητα ζωής”.</w:t>
      </w:r>
    </w:p>
    <w:p w:rsidR="001B3514" w:rsidRDefault="00782E3E">
      <w:pPr>
        <w:suppressAutoHyphens/>
        <w:spacing w:after="140"/>
        <w:rPr>
          <w:rFonts w:eastAsia="Arial Unicode MS" w:cs="Arial Unicode MS"/>
          <w:kern w:val="2"/>
          <w:szCs w:val="24"/>
          <w:lang w:eastAsia="zh-CN" w:bidi="hi-IN"/>
        </w:rPr>
      </w:pPr>
      <w:r>
        <w:rPr>
          <w:rFonts w:eastAsia="Arial Unicode MS" w:cs="Liberation Serif"/>
          <w:color w:val="000000"/>
          <w:kern w:val="2"/>
          <w:szCs w:val="24"/>
          <w:lang w:eastAsia="zh-CN" w:bidi="hi-IN"/>
        </w:rPr>
        <w:lastRenderedPageBreak/>
        <w:t>Η έννοια της ποιότητας ζωής είναι ευρεία και υποκειμενική. Ο Παγκόσμιος Οργανισμός Υγείας την ορίζει ως ¨</w:t>
      </w:r>
      <w:r>
        <w:rPr>
          <w:rFonts w:eastAsia="Arial Unicode MS" w:cs="Liberation Serif"/>
          <w:i/>
          <w:iCs/>
          <w:color w:val="000000"/>
          <w:kern w:val="2"/>
          <w:szCs w:val="24"/>
          <w:lang w:eastAsia="zh-CN" w:bidi="hi-IN"/>
        </w:rPr>
        <w:t xml:space="preserve">την υποκειμενική αντίληψη που έχουν οι άνθρωποι για τη θέση τους στη ζωή, μέσα στο πλαίσιο των πολιτιστικών χαρακτηριστικών και του συστήματος αξιών της κοινωνίας στην οποία ζουν  σε συνάρτηση με τους προσωπικούς στόχους, τις προσδοκίες, τα πρότυπα και τις ανησυχίες τους </w:t>
      </w:r>
      <w:r>
        <w:rPr>
          <w:rFonts w:eastAsia="Arial Unicode MS" w:cs="Liberation Serif"/>
          <w:color w:val="000000"/>
          <w:kern w:val="2"/>
          <w:szCs w:val="24"/>
          <w:lang w:eastAsia="zh-CN" w:bidi="hi-IN"/>
        </w:rPr>
        <w:t>(The WHOQOL GROUP, 1995). Δίνεται έμφαση στην ύπαρξη κατάστασης πλήρους φυσικής</w:t>
      </w:r>
      <w:r w:rsidR="00F7158D">
        <w:rPr>
          <w:rFonts w:eastAsia="Arial Unicode MS" w:cs="Liberation Serif"/>
          <w:color w:val="000000"/>
          <w:kern w:val="2"/>
          <w:szCs w:val="24"/>
          <w:lang w:eastAsia="zh-CN" w:bidi="hi-IN"/>
        </w:rPr>
        <w:t>,</w:t>
      </w:r>
      <w:r>
        <w:rPr>
          <w:rFonts w:eastAsia="Arial Unicode MS" w:cs="Liberation Serif"/>
          <w:color w:val="000000"/>
          <w:kern w:val="2"/>
          <w:szCs w:val="24"/>
          <w:lang w:eastAsia="zh-CN" w:bidi="hi-IN"/>
        </w:rPr>
        <w:t xml:space="preserve"> ψυχικής και κοινωνικής ευεξίας και όχι μόνο στην έλλειψη νόσου ή αναπηρίας.</w:t>
      </w:r>
    </w:p>
    <w:p w:rsidR="001B3514" w:rsidRDefault="00782E3E">
      <w:pPr>
        <w:suppressAutoHyphens/>
        <w:spacing w:after="140"/>
        <w:rPr>
          <w:rFonts w:eastAsia="Arial Unicode MS" w:cs="Arial Unicode MS"/>
          <w:kern w:val="2"/>
          <w:szCs w:val="24"/>
          <w:lang w:eastAsia="zh-CN" w:bidi="hi-IN"/>
        </w:rPr>
      </w:pPr>
      <w:r>
        <w:rPr>
          <w:rFonts w:eastAsia="Arial Unicode MS" w:cs="Liberation Serif"/>
          <w:color w:val="000000"/>
          <w:kern w:val="2"/>
          <w:szCs w:val="24"/>
          <w:lang w:eastAsia="zh-CN" w:bidi="hi-IN"/>
        </w:rPr>
        <w:t xml:space="preserve">Πιο εξειδικευμένα, η ποιότητα ζωής που σχετίζεται με την υγεία ασχολείται με τη μελέτη του επιπέδου υγείας του ατόμου στις καθημερινές δραστηριότητες και στο επίπεδο λειτουργικότητάς του. Ορίζεται ως “ </w:t>
      </w:r>
      <w:r>
        <w:rPr>
          <w:rFonts w:eastAsia="Arial Unicode MS" w:cs="Liberation Serif"/>
          <w:i/>
          <w:iCs/>
          <w:color w:val="000000"/>
          <w:kern w:val="2"/>
          <w:szCs w:val="24"/>
          <w:lang w:eastAsia="zh-CN" w:bidi="hi-IN"/>
        </w:rPr>
        <w:t xml:space="preserve">η ανάλυση που μετρά την επίδραση των θεραπευτικών διαδικασιών στην ολιστική προσέγγιση της ζωής του ατόμου.” </w:t>
      </w:r>
      <w:r>
        <w:rPr>
          <w:rFonts w:eastAsia="Arial Unicode MS" w:cs="Liberation Serif"/>
          <w:color w:val="000000"/>
          <w:kern w:val="2"/>
          <w:szCs w:val="24"/>
          <w:lang w:eastAsia="zh-CN" w:bidi="hi-IN"/>
        </w:rPr>
        <w:t xml:space="preserve">Σύμφωνα με τη Δημόσια Υγεία </w:t>
      </w:r>
      <w:r>
        <w:rPr>
          <w:rFonts w:eastAsia="Arial Unicode MS" w:cs="Liberation Serif"/>
          <w:i/>
          <w:iCs/>
          <w:color w:val="000000"/>
          <w:kern w:val="2"/>
          <w:szCs w:val="24"/>
          <w:lang w:eastAsia="zh-CN" w:bidi="hi-IN"/>
        </w:rPr>
        <w:t>“η σχετιζόμενη με την υγεία ποιότητα ζωής είναι η αξία που αναπτύσσεται στη διάρκεια της ζωής</w:t>
      </w:r>
      <w:r w:rsidR="00F7158D">
        <w:rPr>
          <w:rFonts w:eastAsia="Arial Unicode MS" w:cs="Liberation Serif"/>
          <w:i/>
          <w:iCs/>
          <w:color w:val="000000"/>
          <w:kern w:val="2"/>
          <w:szCs w:val="24"/>
          <w:lang w:eastAsia="zh-CN" w:bidi="hi-IN"/>
        </w:rPr>
        <w:t>,</w:t>
      </w:r>
      <w:r>
        <w:rPr>
          <w:rFonts w:eastAsia="Arial Unicode MS" w:cs="Liberation Serif"/>
          <w:i/>
          <w:iCs/>
          <w:color w:val="000000"/>
          <w:kern w:val="2"/>
          <w:szCs w:val="24"/>
          <w:lang w:eastAsia="zh-CN" w:bidi="hi-IN"/>
        </w:rPr>
        <w:t xml:space="preserve"> η οποία τροποποιείται από τη λειτουργική κατάσταση, τις αντιλήψεις και τις κοινωνικές ευκαιρίες που επηρεάζονται από αρρώστια, τραύμα, θεραπεία ή πολιτική υγείας ’’ .</w:t>
      </w:r>
      <w:r>
        <w:rPr>
          <w:rFonts w:eastAsia="Arial Unicode MS" w:cs="Liberation Serif"/>
          <w:color w:val="000000"/>
          <w:kern w:val="2"/>
          <w:szCs w:val="24"/>
          <w:lang w:eastAsia="zh-CN" w:bidi="hi-IN"/>
        </w:rPr>
        <w:t>(Bullinger, 1991).</w:t>
      </w:r>
    </w:p>
    <w:p w:rsidR="001B3514" w:rsidRDefault="00782E3E">
      <w:pPr>
        <w:suppressAutoHyphens/>
        <w:spacing w:after="140"/>
      </w:pPr>
      <w:r>
        <w:rPr>
          <w:rFonts w:eastAsia="Arial Unicode MS" w:cs="Liberation Serif"/>
          <w:color w:val="000000"/>
          <w:kern w:val="2"/>
          <w:szCs w:val="24"/>
          <w:lang w:eastAsia="zh-CN" w:bidi="hi-IN"/>
        </w:rPr>
        <w:t>Η ποιότητα ζωής που σχετίζεται με την υγεία διαμορφώνεται από οργανικά, κοινωνικά, οικονομικά, ψυχολογικά, ατομικά και υποκειμενικά χαρακτηριστικά. Από έρευνες έχει φανεί πως άτομα με χρόνια νοσήματα βιώνουν μειωμένα επίπεδα ποιότητας ζωής (Γρηγορίου, Καρατζαφέρη, Γιαννάκη, Σακκάς</w:t>
      </w:r>
      <w:r w:rsidR="00F7158D">
        <w:rPr>
          <w:rFonts w:eastAsia="Arial Unicode MS" w:cs="Liberation Serif"/>
          <w:color w:val="000000"/>
          <w:kern w:val="2"/>
          <w:szCs w:val="24"/>
          <w:lang w:eastAsia="zh-CN" w:bidi="hi-IN"/>
        </w:rPr>
        <w:t>,</w:t>
      </w:r>
      <w:r>
        <w:rPr>
          <w:rFonts w:eastAsia="Arial Unicode MS" w:cs="Liberation Serif"/>
          <w:color w:val="000000"/>
          <w:kern w:val="2"/>
          <w:szCs w:val="24"/>
          <w:lang w:eastAsia="zh-CN" w:bidi="hi-IN"/>
        </w:rPr>
        <w:t xml:space="preserve"> 2015). Ο θυμός, το άγχος</w:t>
      </w:r>
      <w:r w:rsidR="00F7158D">
        <w:rPr>
          <w:rFonts w:eastAsia="Arial Unicode MS" w:cs="Liberation Serif"/>
          <w:color w:val="000000"/>
          <w:kern w:val="2"/>
          <w:szCs w:val="24"/>
          <w:lang w:eastAsia="zh-CN" w:bidi="hi-IN"/>
        </w:rPr>
        <w:t>,</w:t>
      </w:r>
      <w:r>
        <w:rPr>
          <w:rFonts w:eastAsia="Arial Unicode MS" w:cs="Liberation Serif"/>
          <w:color w:val="000000"/>
          <w:kern w:val="2"/>
          <w:szCs w:val="24"/>
          <w:lang w:eastAsia="zh-CN" w:bidi="hi-IN"/>
        </w:rPr>
        <w:t xml:space="preserve"> η κατάθλιψη και η κοινωνική απομόνωση εξετάζονται ανάμεσα στους ψυχοκοινωνικούς παράγοντες, που σχετίζονται με την κακή υγεία. Από την άλλη μεριά, θετικά συναισθήματα, όπως  το αίσθημα ικανοποίησης από τη ζωή, η αισιοδοξία, η ύπαρξη σκοπού ζωής</w:t>
      </w:r>
      <w:r w:rsidR="00F7158D">
        <w:rPr>
          <w:rFonts w:eastAsia="Arial Unicode MS" w:cs="Liberation Serif"/>
          <w:color w:val="000000"/>
          <w:kern w:val="2"/>
          <w:szCs w:val="24"/>
          <w:lang w:eastAsia="zh-CN" w:bidi="hi-IN"/>
        </w:rPr>
        <w:t>,</w:t>
      </w:r>
      <w:r>
        <w:rPr>
          <w:rFonts w:eastAsia="Arial Unicode MS" w:cs="Liberation Serif"/>
          <w:color w:val="000000"/>
          <w:kern w:val="2"/>
          <w:szCs w:val="24"/>
          <w:lang w:eastAsia="zh-CN" w:bidi="hi-IN"/>
        </w:rPr>
        <w:t xml:space="preserve"> εθελοντικής προσφοράς</w:t>
      </w:r>
      <w:r w:rsidR="00F7158D">
        <w:rPr>
          <w:rFonts w:eastAsia="Arial Unicode MS" w:cs="Liberation Serif"/>
          <w:color w:val="000000"/>
          <w:kern w:val="2"/>
          <w:szCs w:val="24"/>
          <w:lang w:eastAsia="zh-CN" w:bidi="hi-IN"/>
        </w:rPr>
        <w:t>,</w:t>
      </w:r>
      <w:r>
        <w:rPr>
          <w:rFonts w:eastAsia="Arial Unicode MS" w:cs="Liberation Serif"/>
          <w:color w:val="000000"/>
          <w:kern w:val="2"/>
          <w:szCs w:val="24"/>
          <w:lang w:eastAsia="zh-CN" w:bidi="hi-IN"/>
        </w:rPr>
        <w:t xml:space="preserve"> θετικών σχέσεων και δικτύου  κοινωνικής υποστήριξης όπως και η πνευματικότητα και θρησκευτικότητα φαίνεται να έχουν προγνωστικό ρόλο στην καρδιαγγειακή υγεία</w:t>
      </w:r>
      <w:r w:rsidR="00F7158D">
        <w:rPr>
          <w:rFonts w:eastAsia="Arial Unicode MS" w:cs="Liberation Serif"/>
          <w:color w:val="000000"/>
          <w:kern w:val="2"/>
          <w:szCs w:val="24"/>
          <w:lang w:eastAsia="zh-CN" w:bidi="hi-IN"/>
        </w:rPr>
        <w:t>,</w:t>
      </w:r>
      <w:r>
        <w:rPr>
          <w:rFonts w:eastAsia="Arial Unicode MS" w:cs="Liberation Serif"/>
          <w:color w:val="000000"/>
          <w:kern w:val="2"/>
          <w:szCs w:val="24"/>
          <w:lang w:eastAsia="zh-CN" w:bidi="hi-IN"/>
        </w:rPr>
        <w:t xml:space="preserve"> τόσο κατά την έναρξη όσο και κατά την εξέλιξη της νόσου επηρεάζοντάς την ανάλογα.(Park, Peterson, Szvarca, Molen, Kim, Collon, 2016). </w:t>
      </w:r>
    </w:p>
    <w:p w:rsidR="001B3514" w:rsidRDefault="001B3514">
      <w:pPr>
        <w:rPr>
          <w:lang w:eastAsia="zh-CN" w:bidi="hi-IN"/>
        </w:rPr>
      </w:pPr>
    </w:p>
    <w:p w:rsidR="001B3514" w:rsidRDefault="00782E3E">
      <w:pPr>
        <w:pStyle w:val="2"/>
        <w:rPr>
          <w:lang w:bidi="hi-IN"/>
        </w:rPr>
      </w:pPr>
      <w:bookmarkStart w:id="23" w:name="_Toc64641757"/>
      <w:r>
        <w:lastRenderedPageBreak/>
        <w:t>2.2</w:t>
      </w:r>
      <w:r>
        <w:rPr>
          <w:lang w:bidi="hi-IN"/>
        </w:rPr>
        <w:t xml:space="preserve"> Ψυχολογικές παράμετροι που συμβάλλουν στην προσαρμογή στην υπέρταση</w:t>
      </w:r>
      <w:bookmarkEnd w:id="23"/>
    </w:p>
    <w:p w:rsidR="001B3514" w:rsidRDefault="00782E3E">
      <w:pPr>
        <w:suppressAutoHyphens/>
        <w:spacing w:after="140"/>
      </w:pPr>
      <w:r>
        <w:rPr>
          <w:rFonts w:eastAsia="Arial Unicode MS" w:cs="Arial Unicode MS"/>
          <w:color w:val="000000"/>
          <w:kern w:val="2"/>
          <w:szCs w:val="24"/>
          <w:lang w:eastAsia="zh-CN" w:bidi="hi-IN"/>
        </w:rPr>
        <w:t>Η ζωή με μια χρόνια νόσο όπως η υπέρταση, αποτελεί μια πρόκληση για τον άρρωστο, ο οποίος καλείται να μάθει  να προσαρμοστεί στις απαιτήσεις της ασθένειας και να έρθει αντιμέτωπος με την αβεβαιότητα της έκβασης της νόσου και των επιπλοκών της (Παπαδάτου et. al.,  2012). Η παρουσία και άλλων νόσων, που συχνά συνυπάρχουν στον ασθενή που έχει αρτηριακή υπέρταση, διαμορφώνει  καινούργιες συνθήκες</w:t>
      </w:r>
      <w:r w:rsidR="00F7158D">
        <w:rPr>
          <w:rFonts w:eastAsia="Arial Unicode MS" w:cs="Arial Unicode MS"/>
          <w:color w:val="000000"/>
          <w:kern w:val="2"/>
          <w:szCs w:val="24"/>
          <w:lang w:eastAsia="zh-CN" w:bidi="hi-IN"/>
        </w:rPr>
        <w:t>,</w:t>
      </w:r>
      <w:r w:rsidR="00F7158D" w:rsidRPr="00F7158D">
        <w:rPr>
          <w:rFonts w:eastAsia="Arial Unicode MS" w:cs="Arial Unicode MS"/>
          <w:color w:val="000000"/>
          <w:kern w:val="2"/>
          <w:szCs w:val="24"/>
          <w:lang w:eastAsia="zh-CN" w:bidi="hi-IN"/>
        </w:rPr>
        <w:t xml:space="preserve"> </w:t>
      </w:r>
      <w:r>
        <w:rPr>
          <w:rFonts w:eastAsia="Arial Unicode MS" w:cs="Arial Unicode MS"/>
          <w:color w:val="000000"/>
          <w:kern w:val="2"/>
          <w:szCs w:val="24"/>
          <w:lang w:eastAsia="zh-CN" w:bidi="hi-IN"/>
        </w:rPr>
        <w:t>όπου το άτομο προσπαθεί να ισορροπήσει και να βρει χώρο για τις επιθυμίες, τις ανάγκες και τα ενδιαφέροντά του (Παπαδάτου et. al., 2012).</w:t>
      </w:r>
    </w:p>
    <w:p w:rsidR="001B3514" w:rsidRDefault="00782E3E">
      <w:pPr>
        <w:suppressAutoHyphens/>
        <w:spacing w:after="140"/>
        <w:rPr>
          <w:rFonts w:eastAsia="Arial Unicode MS" w:cs="Arial Unicode MS"/>
          <w:kern w:val="2"/>
          <w:szCs w:val="24"/>
          <w:lang w:eastAsia="zh-CN" w:bidi="hi-IN"/>
        </w:rPr>
      </w:pPr>
      <w:r>
        <w:rPr>
          <w:rFonts w:eastAsia="Arial Unicode MS" w:cs="Arial Unicode MS"/>
          <w:color w:val="000000"/>
          <w:kern w:val="2"/>
          <w:szCs w:val="24"/>
          <w:lang w:eastAsia="zh-CN" w:bidi="hi-IN"/>
        </w:rPr>
        <w:t xml:space="preserve">Η οργανική, ψυχολογική, κοινωνιολογική και ανθρωπιστική προέκταση της νόσου, όπως απαντάται σήμερα, αντιμετωπίζουν τη νόσο ως ένα ψυχοκοινωνικό φαινόμενο, η οποία αποδίδει στο άτομο τον χαρακτηρισμό του ασθενούς και αυτός τον αποδέχεται (Χαλκιοπούλου, 1990). </w:t>
      </w:r>
    </w:p>
    <w:p w:rsidR="001B3514" w:rsidRDefault="00782E3E">
      <w:pPr>
        <w:suppressAutoHyphens/>
        <w:spacing w:after="140"/>
        <w:rPr>
          <w:rFonts w:eastAsia="Arial Unicode MS" w:cs="Arial Unicode MS"/>
          <w:kern w:val="2"/>
          <w:szCs w:val="24"/>
          <w:lang w:eastAsia="zh-CN" w:bidi="hi-IN"/>
        </w:rPr>
      </w:pPr>
      <w:r>
        <w:rPr>
          <w:rFonts w:eastAsia="Arial Unicode MS" w:cs="Arial Unicode MS"/>
          <w:color w:val="000000"/>
          <w:kern w:val="2"/>
          <w:szCs w:val="24"/>
          <w:lang w:eastAsia="zh-CN" w:bidi="hi-IN"/>
        </w:rPr>
        <w:t>‘Ετσι, η προσαρμογή στη υπέρταση  εξαρτάται από τις στρατηγικές αντιμετώπισης του στρες στις διάφορες φάσεις της νόσου και αφορούν στην ίδια την ασθένεια, αλλά και σε προσωπικές παραμέτρους όπως και σε περιβαλλοντικούς παράγοντες (Καραδήμος, 2005).</w:t>
      </w:r>
      <w:r w:rsidR="00F7158D" w:rsidRPr="00F7158D">
        <w:rPr>
          <w:rFonts w:eastAsia="Arial Unicode MS" w:cs="Arial Unicode MS"/>
          <w:color w:val="000000"/>
          <w:kern w:val="2"/>
          <w:szCs w:val="24"/>
          <w:lang w:eastAsia="zh-CN" w:bidi="hi-IN"/>
        </w:rPr>
        <w:t xml:space="preserve"> </w:t>
      </w:r>
      <w:r>
        <w:rPr>
          <w:rFonts w:eastAsia="Arial Unicode MS" w:cs="Arial Unicode MS"/>
          <w:color w:val="000000"/>
          <w:kern w:val="2"/>
          <w:szCs w:val="24"/>
          <w:lang w:eastAsia="zh-CN" w:bidi="hi-IN"/>
        </w:rPr>
        <w:t>Η ηλικία</w:t>
      </w:r>
      <w:r w:rsidR="00F7158D">
        <w:rPr>
          <w:rFonts w:eastAsia="Arial Unicode MS" w:cs="Arial Unicode MS"/>
          <w:color w:val="000000"/>
          <w:kern w:val="2"/>
          <w:szCs w:val="24"/>
          <w:lang w:eastAsia="zh-CN" w:bidi="hi-IN"/>
        </w:rPr>
        <w:t>,</w:t>
      </w:r>
      <w:r>
        <w:rPr>
          <w:rFonts w:eastAsia="Arial Unicode MS" w:cs="Arial Unicode MS"/>
          <w:color w:val="000000"/>
          <w:kern w:val="2"/>
          <w:szCs w:val="24"/>
          <w:lang w:eastAsia="zh-CN" w:bidi="hi-IN"/>
        </w:rPr>
        <w:t xml:space="preserve">το φύλο,  το κοινωνικο-οικονομικό επίπεδο, πολιτισμικοί παράγοντες, φιλοσοφικές και θρησκευτικές πεποιθήσεις, προυπάρχοντα προβλήματα και ψυχικές δυσκολίες καθορίζουν τους προσωπικούς παράγοντες, ενώ η οικογένεια, οι φίλοι, η ευρύτερη κοινωνία και κοινότητα καθορίζουν τους περιβαλλοντικούς παράγοντες. </w:t>
      </w:r>
    </w:p>
    <w:p w:rsidR="001B3514" w:rsidRDefault="00782E3E">
      <w:pPr>
        <w:suppressAutoHyphens/>
        <w:spacing w:after="140"/>
        <w:rPr>
          <w:rFonts w:eastAsia="Arial Unicode MS" w:cs="Arial Unicode MS"/>
          <w:kern w:val="2"/>
          <w:szCs w:val="24"/>
          <w:lang w:eastAsia="zh-CN" w:bidi="hi-IN"/>
        </w:rPr>
      </w:pPr>
      <w:r>
        <w:rPr>
          <w:rFonts w:eastAsia="Arial Unicode MS" w:cs="Arial Unicode MS"/>
          <w:color w:val="000000"/>
          <w:kern w:val="2"/>
          <w:szCs w:val="24"/>
          <w:lang w:eastAsia="zh-CN" w:bidi="hi-IN"/>
        </w:rPr>
        <w:t>Σύμφωνα με την Χαλκιοπούλου, το ψυχολογικού προφίλ του χρόνιου υπερτασικού ασθενούς καθορίζεται από την αλληλεπίδραση τριών κυρίως παραγόντων α) του στρες της ίδιας της νόσου β) των χαρακτηριστικών του ασθενούς και γ) των παραγόντων που επιδρούν κατά τη θεραπεία. (Χαλκιοπούλου, 1990).</w:t>
      </w:r>
    </w:p>
    <w:p w:rsidR="001B3514" w:rsidRDefault="001B3514">
      <w:pPr>
        <w:suppressAutoHyphens/>
        <w:spacing w:after="140"/>
        <w:rPr>
          <w:rFonts w:eastAsia="Arial Unicode MS" w:cs="Arial Unicode MS"/>
          <w:b/>
          <w:bCs/>
          <w:color w:val="000000"/>
          <w:kern w:val="2"/>
          <w:szCs w:val="24"/>
          <w:lang w:eastAsia="zh-CN" w:bidi="hi-IN"/>
        </w:rPr>
      </w:pPr>
    </w:p>
    <w:p w:rsidR="001B3514" w:rsidRDefault="00782E3E">
      <w:pPr>
        <w:pStyle w:val="2"/>
        <w:rPr>
          <w:lang w:eastAsia="zh-CN" w:bidi="hi-IN"/>
        </w:rPr>
      </w:pPr>
      <w:bookmarkStart w:id="24" w:name="_Toc64641758"/>
      <w:r>
        <w:rPr>
          <w:lang w:eastAsia="zh-CN" w:bidi="hi-IN"/>
        </w:rPr>
        <w:t>2.3 Θεωρία της κρίσης στη χρόνια υπέρταση</w:t>
      </w:r>
      <w:bookmarkEnd w:id="24"/>
    </w:p>
    <w:p w:rsidR="001B3514" w:rsidRDefault="00782E3E">
      <w:pPr>
        <w:suppressAutoHyphens/>
        <w:spacing w:after="140"/>
        <w:rPr>
          <w:rFonts w:eastAsia="Arial Unicode MS" w:cs="Arial Unicode MS"/>
          <w:kern w:val="2"/>
          <w:szCs w:val="24"/>
          <w:lang w:eastAsia="zh-CN" w:bidi="hi-IN"/>
        </w:rPr>
      </w:pPr>
      <w:r>
        <w:rPr>
          <w:rFonts w:eastAsia="Arial Unicode MS" w:cs="Arial Unicode MS"/>
          <w:color w:val="000000"/>
          <w:kern w:val="2"/>
          <w:szCs w:val="24"/>
          <w:lang w:eastAsia="zh-CN" w:bidi="hi-IN"/>
        </w:rPr>
        <w:t xml:space="preserve">Η διάγνωση μιας σωματικής ασθένειας γίνεται συνήθως κατανοητή στο πλαίσιο της θεωρίας της κρίσης και της ανάγκης για επιστροφή σε κατάσταση ισορροπίας(Moos &amp; Schaefer, 1984). Ως χρόνιος ασθενής ο υπερτασικός έχει να αντιμετωπίσει προβλήματα οργανικά, που αφορούν στη </w:t>
      </w:r>
      <w:r>
        <w:rPr>
          <w:rFonts w:eastAsia="Arial Unicode MS" w:cs="Arial Unicode MS"/>
          <w:color w:val="000000"/>
          <w:kern w:val="2"/>
          <w:szCs w:val="24"/>
          <w:lang w:eastAsia="zh-CN" w:bidi="hi-IN"/>
        </w:rPr>
        <w:lastRenderedPageBreak/>
        <w:t>εκδήλωση  σωματικών συμπτωμάτων από την  αυξημένη πίεση (π.χ. πονοκέφαλοι), και από τις παρενέργειες της αντιυπερτασικής αγωγής, όπως και φόβους για την εξέλιξη της ασθένειας</w:t>
      </w:r>
      <w:r w:rsidR="00F7158D">
        <w:rPr>
          <w:rFonts w:eastAsia="Arial Unicode MS" w:cs="Arial Unicode MS"/>
          <w:color w:val="000000"/>
          <w:kern w:val="2"/>
          <w:szCs w:val="24"/>
          <w:lang w:eastAsia="zh-CN" w:bidi="hi-IN"/>
        </w:rPr>
        <w:t>,</w:t>
      </w:r>
      <w:r w:rsidR="00F7158D" w:rsidRPr="00F7158D">
        <w:rPr>
          <w:rFonts w:eastAsia="Arial Unicode MS" w:cs="Arial Unicode MS"/>
          <w:color w:val="000000"/>
          <w:kern w:val="2"/>
          <w:szCs w:val="24"/>
          <w:lang w:eastAsia="zh-CN" w:bidi="hi-IN"/>
        </w:rPr>
        <w:t xml:space="preserve"> </w:t>
      </w:r>
      <w:r>
        <w:rPr>
          <w:rFonts w:eastAsia="Arial Unicode MS" w:cs="Arial Unicode MS"/>
          <w:color w:val="000000"/>
          <w:kern w:val="2"/>
          <w:szCs w:val="24"/>
          <w:lang w:eastAsia="zh-CN" w:bidi="hi-IN"/>
        </w:rPr>
        <w:t>τη ζωή και το μέλλον. Η διάγνωση, η θεραπεία, η υποτροπή</w:t>
      </w:r>
      <w:r w:rsidR="00F7158D">
        <w:rPr>
          <w:rFonts w:eastAsia="Arial Unicode MS" w:cs="Arial Unicode MS"/>
          <w:color w:val="000000"/>
          <w:kern w:val="2"/>
          <w:szCs w:val="24"/>
          <w:lang w:eastAsia="zh-CN" w:bidi="hi-IN"/>
        </w:rPr>
        <w:t>,</w:t>
      </w:r>
      <w:r w:rsidR="00F7158D" w:rsidRPr="00F7158D">
        <w:rPr>
          <w:rFonts w:eastAsia="Arial Unicode MS" w:cs="Arial Unicode MS"/>
          <w:color w:val="000000"/>
          <w:kern w:val="2"/>
          <w:szCs w:val="24"/>
          <w:lang w:eastAsia="zh-CN" w:bidi="hi-IN"/>
        </w:rPr>
        <w:t xml:space="preserve"> </w:t>
      </w:r>
      <w:r>
        <w:rPr>
          <w:rFonts w:eastAsia="Arial Unicode MS" w:cs="Arial Unicode MS"/>
          <w:color w:val="000000"/>
          <w:kern w:val="2"/>
          <w:szCs w:val="24"/>
          <w:lang w:eastAsia="zh-CN" w:bidi="hi-IN"/>
        </w:rPr>
        <w:t>αποτελούν διακριτές έντονα στρεσογόνες καταστάσεις</w:t>
      </w:r>
      <w:r w:rsidR="00F7158D">
        <w:rPr>
          <w:rFonts w:eastAsia="Arial Unicode MS" w:cs="Arial Unicode MS"/>
          <w:color w:val="000000"/>
          <w:kern w:val="2"/>
          <w:szCs w:val="24"/>
          <w:lang w:eastAsia="zh-CN" w:bidi="hi-IN"/>
        </w:rPr>
        <w:t>,</w:t>
      </w:r>
      <w:r w:rsidR="00F7158D" w:rsidRPr="00F7158D">
        <w:rPr>
          <w:rFonts w:eastAsia="Arial Unicode MS" w:cs="Arial Unicode MS"/>
          <w:color w:val="000000"/>
          <w:kern w:val="2"/>
          <w:szCs w:val="24"/>
          <w:lang w:eastAsia="zh-CN" w:bidi="hi-IN"/>
        </w:rPr>
        <w:t xml:space="preserve"> </w:t>
      </w:r>
      <w:r>
        <w:rPr>
          <w:rFonts w:eastAsia="Arial Unicode MS" w:cs="Arial Unicode MS"/>
          <w:color w:val="000000"/>
          <w:kern w:val="2"/>
          <w:szCs w:val="24"/>
          <w:lang w:eastAsia="zh-CN" w:bidi="hi-IN"/>
        </w:rPr>
        <w:t>που μπορούν να καταβάλλουν και τον πιο δυνατό ασθενή(Καλαντζή, 1996), ενώ το στάδιο της προσαρμογής είναι εξαιρετικά πολύπλοκο καθώς επηρεάζεται από όλους σχεδόν τους τομείς της ανθρώπινης λειτουργίας και ταυτόχρονα φαίνεται να τους επηρεάζει  (Καραδήμας, 2005).</w:t>
      </w:r>
    </w:p>
    <w:p w:rsidR="001B3514" w:rsidRDefault="00782E3E">
      <w:pPr>
        <w:suppressAutoHyphens/>
        <w:spacing w:after="140"/>
      </w:pPr>
      <w:r>
        <w:rPr>
          <w:rFonts w:eastAsia="Arial Unicode MS" w:cs="Arial Unicode MS"/>
          <w:color w:val="000000"/>
          <w:kern w:val="2"/>
          <w:szCs w:val="24"/>
          <w:lang w:eastAsia="zh-CN" w:bidi="hi-IN"/>
        </w:rPr>
        <w:t>Κατά τα αρχικά στάδια η υπέρταση ως νόσος</w:t>
      </w:r>
      <w:r w:rsidR="00F7158D">
        <w:rPr>
          <w:rFonts w:eastAsia="Arial Unicode MS" w:cs="Arial Unicode MS"/>
          <w:color w:val="000000"/>
          <w:kern w:val="2"/>
          <w:szCs w:val="24"/>
          <w:lang w:eastAsia="zh-CN" w:bidi="hi-IN"/>
        </w:rPr>
        <w:t>,</w:t>
      </w:r>
      <w:r>
        <w:rPr>
          <w:rFonts w:eastAsia="Arial Unicode MS" w:cs="Arial Unicode MS"/>
          <w:color w:val="000000"/>
          <w:kern w:val="2"/>
          <w:szCs w:val="24"/>
          <w:lang w:eastAsia="zh-CN" w:bidi="hi-IN"/>
        </w:rPr>
        <w:t xml:space="preserve"> συνήθως δε δίνει σοβαρά συμπτώματα  . Μέχρι να προκύψουν αγγειακές αλλαγές, οι ασθενείς αισθάνονται υγιείς και συνεχίζουν τις συνήθεις δραστηριότητές τους. Ωστόσο, η εμφάνιση παθήσεων από το νευρικό, καρδιαγγειακό, νεφρικό ή αισθητηριακό σύστημα, οδηγούν στην εμφάνιση ελλειμμάτων στις ατομικές ικανότητες, που προκαλούν αντιδράσεις άγχους και κατάθλιψης σε βάθος χρόνου( Afzal Shamsi, Nahid Dehghan Nayeri, Maryam Esmaeili, 2017).</w:t>
      </w:r>
    </w:p>
    <w:p w:rsidR="001B3514" w:rsidRDefault="00782E3E">
      <w:pPr>
        <w:suppressAutoHyphens/>
        <w:spacing w:after="140"/>
      </w:pPr>
      <w:r>
        <w:rPr>
          <w:rFonts w:eastAsia="Arial Unicode MS" w:cs="Arial Unicode MS"/>
          <w:color w:val="000000"/>
          <w:kern w:val="2"/>
          <w:szCs w:val="24"/>
          <w:lang w:eastAsia="zh-CN" w:bidi="hi-IN"/>
        </w:rPr>
        <w:t>Κάθε άτομο εμφανίζει μοναδικές αντιδράσεις ως προς την έκφραση και την ένταση</w:t>
      </w:r>
      <w:r w:rsidR="00F7158D">
        <w:rPr>
          <w:rFonts w:eastAsia="Arial Unicode MS" w:cs="Arial Unicode MS"/>
          <w:color w:val="000000"/>
          <w:kern w:val="2"/>
          <w:szCs w:val="24"/>
          <w:lang w:eastAsia="zh-CN" w:bidi="hi-IN"/>
        </w:rPr>
        <w:t>,</w:t>
      </w:r>
      <w:r>
        <w:rPr>
          <w:rFonts w:eastAsia="Arial Unicode MS" w:cs="Arial Unicode MS"/>
          <w:color w:val="000000"/>
          <w:kern w:val="2"/>
          <w:szCs w:val="24"/>
          <w:lang w:eastAsia="zh-CN" w:bidi="hi-IN"/>
        </w:rPr>
        <w:t xml:space="preserve"> στη γνωστοποίηση της διάγνωσης της χρόνιας ασθένειας της ΑΠ, που μπορεί να έχουν εποικοδομητικές ή αρνητικές επιπτώσεις στην οργανική και ψυχική υγεία του ατόμου και στις σχέσεις του με τους άλλους  (Αναγνωστόπουλος, 2012 ). Αν ενεργοποιήσει αποτελεσματικές στρατηγικές για την αντιμετώπιση των προκλήσεων που επιφέρει η χρόνια ασθένεια, τότε διατηρεί μια θετική εικόνα εαυτού. Αντίθετα, όταν βιώνει αυξημένο άγχος και κατάθλιψη εξαιτίας της κατάστασης, τότε η αυτοεκτίμησή του μειώνεται και δυσχεραίνεται η προσαρμογή του στις διάφορες καταστάσεις που συνδέονται με την πορεία της νόσου. </w:t>
      </w:r>
    </w:p>
    <w:p w:rsidR="001B3514" w:rsidRDefault="00782E3E">
      <w:pPr>
        <w:suppressAutoHyphens/>
        <w:spacing w:after="140"/>
        <w:rPr>
          <w:rFonts w:eastAsia="Arial Unicode MS" w:cs="Arial Unicode MS"/>
          <w:kern w:val="2"/>
          <w:szCs w:val="24"/>
          <w:lang w:eastAsia="zh-CN" w:bidi="hi-IN"/>
        </w:rPr>
      </w:pPr>
      <w:r>
        <w:rPr>
          <w:rFonts w:eastAsia="Arial Unicode MS" w:cs="Liberation Serif"/>
          <w:color w:val="000000"/>
          <w:kern w:val="2"/>
          <w:szCs w:val="24"/>
          <w:lang w:eastAsia="zh-CN" w:bidi="hi-IN"/>
        </w:rPr>
        <w:t xml:space="preserve">Δεν είναι λοιπόν παράδοξο πως η εμφάνιση Υπέρτασης σε νεαρή ηλικία συνοδεύεται συχνά από σοκ, κατάθλιψη και φόβο, ενώ ο κληρονομικός της χαρακτήρας φοβίζει και ανησυχεί τους γονείς για το μέλλον των παιδιών τους. </w:t>
      </w:r>
    </w:p>
    <w:p w:rsidR="001B3514" w:rsidRDefault="00782E3E">
      <w:pPr>
        <w:suppressAutoHyphens/>
        <w:spacing w:after="140"/>
      </w:pPr>
      <w:r>
        <w:rPr>
          <w:rFonts w:eastAsia="Arial Unicode MS" w:cs="Arial Unicode MS"/>
          <w:color w:val="000000"/>
          <w:kern w:val="2"/>
          <w:szCs w:val="24"/>
          <w:lang w:eastAsia="zh-CN" w:bidi="hi-IN"/>
        </w:rPr>
        <w:t xml:space="preserve">Η Υπέρταση ως κρίση μπορεί να επιφέρει αλλαγές στο ρόλο, στην κοινωνική υποστήριξη και στα μελλοντικά σχέδια (Moos and Schaefer, 1984).Κατά τους ίδιους ερευνητές, η αντιμετώπιση αφορά στη διαδικασία της γνωστικής αξιολόγησης, στην προσαρμογή με την ανάπτυξη ειδικών και γενικών δράσεων και στην αντιμετώπιση της κρίσης της νόσου. Η αντιμετώπιση  μπορεί να εστιάζεται στην αξιολόγηση, στο πρόβλημα ή στο συναίσθημα (Ogden, J . 2018). Η θεωρία της </w:t>
      </w:r>
      <w:r>
        <w:rPr>
          <w:rFonts w:eastAsia="Arial Unicode MS" w:cs="Arial Unicode MS"/>
          <w:color w:val="000000"/>
          <w:kern w:val="2"/>
          <w:szCs w:val="24"/>
          <w:lang w:eastAsia="zh-CN" w:bidi="hi-IN"/>
        </w:rPr>
        <w:lastRenderedPageBreak/>
        <w:t>κρίσης διακρίνει δύο νέους τύπους ισορροπίας: την υγιή αντίδραση, που καταλήγει σε ωρίμανση και αναδιοργάνωση και τη δυσπροσαρμοστική αντίδραση, που καταλήγει σε αποδιοργάνωση και επιδείνωση.</w:t>
      </w:r>
    </w:p>
    <w:p w:rsidR="001B3514" w:rsidRDefault="00782E3E">
      <w:pPr>
        <w:suppressAutoHyphens/>
        <w:spacing w:after="140"/>
        <w:rPr>
          <w:rFonts w:eastAsia="Arial Unicode MS" w:cs="Arial Unicode MS"/>
          <w:kern w:val="2"/>
          <w:szCs w:val="24"/>
          <w:lang w:eastAsia="zh-CN" w:bidi="hi-IN"/>
        </w:rPr>
      </w:pPr>
      <w:r>
        <w:rPr>
          <w:rFonts w:eastAsia="Arial Unicode MS" w:cs="Arial Unicode MS"/>
          <w:color w:val="000000"/>
          <w:kern w:val="2"/>
          <w:szCs w:val="24"/>
          <w:lang w:eastAsia="zh-CN" w:bidi="hi-IN"/>
        </w:rPr>
        <w:t>Η ποιότητα ζωής εξαρτάται από τις στρατηγικές που θα αναπτύξει το άτομο απέναντι στις προκλήσεις που πηγάζουν από την αντίληψη του ασθενούς για την ασθένεια αλλά και για τον εαυτό του, από τις σχέσεις με τον κοινωνικό περίγυρο και τον εργασιακό χώρο και από την φύση και την εξέλιξη της ίδιας της νόσου. ΄Οπως αναφέρει η Παπαδάτου, οι στρατηγικές είναι αποτελεσματικές όταν ¨</w:t>
      </w:r>
      <w:r>
        <w:rPr>
          <w:rFonts w:eastAsia="Arial Unicode MS" w:cs="Arial Unicode MS"/>
          <w:i/>
          <w:iCs/>
          <w:color w:val="000000"/>
          <w:kern w:val="2"/>
          <w:szCs w:val="24"/>
          <w:lang w:eastAsia="zh-CN" w:bidi="hi-IN"/>
        </w:rPr>
        <w:t xml:space="preserve"> προωθούν τη λειτουργία του ασθενούς  σε βασικούς ρόλους της καθημερινής ζωής, συμβάλλουν στη συμμόρφωση και συνεργασία του στη θεραπεία και μειώνουν το άγχος και τη δυσφορία του¨.</w:t>
      </w:r>
      <w:r>
        <w:rPr>
          <w:rFonts w:eastAsia="Arial Unicode MS" w:cs="Arial Unicode MS"/>
          <w:color w:val="000000"/>
          <w:kern w:val="2"/>
          <w:szCs w:val="24"/>
          <w:lang w:eastAsia="zh-CN" w:bidi="hi-IN"/>
        </w:rPr>
        <w:t xml:space="preserve"> Αυτό αποτυπώνεται στην πράξη με την διατήρηση αισιοδοξίας και ελπίδας. Όταν όμως βιώνει αίσθημα αδυναμίας και ανημποριάς, με αρνητικές προσδοκίες</w:t>
      </w:r>
      <w:r w:rsidR="00F7158D">
        <w:rPr>
          <w:rFonts w:eastAsia="Arial Unicode MS" w:cs="Arial Unicode MS"/>
          <w:color w:val="000000"/>
          <w:kern w:val="2"/>
          <w:szCs w:val="24"/>
          <w:lang w:eastAsia="zh-CN" w:bidi="hi-IN"/>
        </w:rPr>
        <w:t>,</w:t>
      </w:r>
      <w:r>
        <w:rPr>
          <w:rFonts w:eastAsia="Arial Unicode MS" w:cs="Arial Unicode MS"/>
          <w:color w:val="000000"/>
          <w:kern w:val="2"/>
          <w:szCs w:val="24"/>
          <w:lang w:eastAsia="zh-CN" w:bidi="hi-IN"/>
        </w:rPr>
        <w:t xml:space="preserve"> απόγνωση και παθητικότητα, τότε επηρεάζεται αρνητικά η προσαρμογή του στην ασθένεια και η εξέλιξη της υγείας του.</w:t>
      </w:r>
    </w:p>
    <w:p w:rsidR="001B3514" w:rsidRDefault="00782E3E">
      <w:pPr>
        <w:suppressAutoHyphens/>
        <w:spacing w:after="140"/>
      </w:pPr>
      <w:r>
        <w:rPr>
          <w:rFonts w:eastAsia="Arial Unicode MS" w:cs="Arial Unicode MS"/>
          <w:color w:val="000000"/>
          <w:kern w:val="2"/>
          <w:szCs w:val="24"/>
          <w:lang w:eastAsia="zh-CN" w:bidi="hi-IN"/>
        </w:rPr>
        <w:t>Ρ</w:t>
      </w:r>
      <w:r>
        <w:rPr>
          <w:rFonts w:eastAsia="Arial Unicode MS" w:cs="Liberation Serif"/>
          <w:color w:val="000000"/>
          <w:kern w:val="2"/>
          <w:szCs w:val="24"/>
          <w:lang w:eastAsia="zh-CN" w:bidi="hi-IN"/>
        </w:rPr>
        <w:t>υθμιστικό ρόλο στη διαχείριση του στρες και της ανασφάλειας που συνοδεύει τον χρόνιο υπερτασικό έχει η κοινωνική υποστήριξη που το άτομο αντιλαμβάνεται πως λαμβάνει από διάφορες πηγές, όπως την οικογένεια, τους συναδέλφους τους φίλους και τους ειδικούς (Καραδήμας, 2005 Ποντισίδης και  Μπελλάλη 2015). Το κοινωνικό δίκτυο ενδυναμώνει το άτομο και συμβάλλει στην καλή συναισθηματική του κατάσταση, ενώ σε επίπεδο φυσιολογίας μειώνεται η δράση των ανοσοτροποποιητικών παραγόντων του οργανισμού (ιντερλευκίνες και ιντερφερόνη-γ) και η  αντίσταση του οργανισμού στη δράση της κορτιζόλης και κατά συνέπεια το άγχος.</w:t>
      </w:r>
    </w:p>
    <w:p w:rsidR="001B3514" w:rsidRDefault="001B3514">
      <w:pPr>
        <w:suppressAutoHyphens/>
        <w:spacing w:after="140"/>
        <w:rPr>
          <w:rFonts w:eastAsia="Arial Unicode MS" w:cs="Liberation Serif"/>
          <w:b/>
          <w:bCs/>
          <w:color w:val="000000"/>
          <w:kern w:val="2"/>
          <w:szCs w:val="24"/>
          <w:lang w:eastAsia="zh-CN" w:bidi="hi-IN"/>
        </w:rPr>
      </w:pPr>
    </w:p>
    <w:p w:rsidR="001B3514" w:rsidRDefault="00782E3E">
      <w:pPr>
        <w:pStyle w:val="2"/>
        <w:rPr>
          <w:lang w:bidi="hi-IN"/>
        </w:rPr>
      </w:pPr>
      <w:bookmarkStart w:id="25" w:name="_Toc64641759"/>
      <w:r>
        <w:t xml:space="preserve">2.4 </w:t>
      </w:r>
      <w:r>
        <w:rPr>
          <w:lang w:bidi="hi-IN"/>
        </w:rPr>
        <w:t>Προσωπικά χαρακτηριστικά ασθενούς</w:t>
      </w:r>
      <w:bookmarkEnd w:id="25"/>
    </w:p>
    <w:p w:rsidR="001B3514" w:rsidRDefault="00782E3E">
      <w:pPr>
        <w:suppressAutoHyphens/>
        <w:spacing w:after="140"/>
        <w:rPr>
          <w:rFonts w:eastAsia="Arial Unicode MS" w:cs="Arial Unicode MS"/>
          <w:kern w:val="2"/>
          <w:szCs w:val="24"/>
          <w:lang w:eastAsia="zh-CN" w:bidi="hi-IN"/>
        </w:rPr>
      </w:pPr>
      <w:r>
        <w:rPr>
          <w:rFonts w:eastAsia="Arial Unicode MS" w:cs="Arial Unicode MS"/>
          <w:color w:val="000000"/>
          <w:kern w:val="2"/>
          <w:szCs w:val="24"/>
          <w:lang w:eastAsia="zh-CN" w:bidi="hi-IN"/>
        </w:rPr>
        <w:t>Φαίνεται πως ο πολιτισμός αποτελεί τη σημαντικότερη ίσως παράμετρο στη διαμόρφωση των στάσεων σχετικά με την αρρώστια και την υγεία του πληθυσμού.</w:t>
      </w:r>
    </w:p>
    <w:p w:rsidR="001B3514" w:rsidRDefault="00782E3E">
      <w:pPr>
        <w:suppressAutoHyphens/>
        <w:spacing w:after="140"/>
        <w:rPr>
          <w:rFonts w:eastAsia="Arial Unicode MS" w:cs="Arial Unicode MS"/>
          <w:kern w:val="2"/>
          <w:szCs w:val="24"/>
          <w:lang w:eastAsia="zh-CN" w:bidi="hi-IN"/>
        </w:rPr>
      </w:pPr>
      <w:r>
        <w:rPr>
          <w:rFonts w:eastAsia="Arial Unicode MS" w:cs="Arial Unicode MS"/>
          <w:color w:val="000000"/>
          <w:kern w:val="2"/>
          <w:szCs w:val="24"/>
          <w:lang w:eastAsia="zh-CN" w:bidi="hi-IN"/>
        </w:rPr>
        <w:t xml:space="preserve">Η αισιόδοξη στάση ζωής επιφέρει, σύμφωνα με τις μελέτες του ψυχολόγου Martin Selingman, οφέλη στην σωματική και ψυχική υγεία. Τα αισιόδοξα άτομα είναι πιο δραστήρια, αποφασιστικά και επίμονα, διατηρούν τον έλεγχο της ζωής και ακόμα κι αν νοσήσουν έχουν θετικές </w:t>
      </w:r>
      <w:r>
        <w:rPr>
          <w:rFonts w:eastAsia="Arial Unicode MS" w:cs="Arial Unicode MS"/>
          <w:color w:val="000000"/>
          <w:kern w:val="2"/>
          <w:szCs w:val="24"/>
          <w:lang w:eastAsia="zh-CN" w:bidi="hi-IN"/>
        </w:rPr>
        <w:lastRenderedPageBreak/>
        <w:t>προσδοκίες από το μέλλον. Συνήθως δεν εμφανίζουν ενοχές για τα προβλήματα της υγείας τους και είναι πιο πρόθυμα να αγωνιστούν για να τα αντιμετωπίσουν (Χαλκιοπούλου, 1990). Κάνουν πιο συχνά προληπτικούς ελέγχους, ακολουθούν υγιεινούς τρόπους ζωής, έχουν καλύτερη συνεργασία με τους γιατρούς τους και αντιμετωπίζουν πιο θετικά και ενεργά το πρόβλημα υγείας τους.</w:t>
      </w:r>
    </w:p>
    <w:p w:rsidR="001B3514" w:rsidRDefault="00782E3E">
      <w:pPr>
        <w:suppressAutoHyphens/>
        <w:spacing w:after="140"/>
        <w:rPr>
          <w:rFonts w:eastAsia="Arial Unicode MS" w:cs="Arial Unicode MS"/>
          <w:kern w:val="2"/>
          <w:szCs w:val="24"/>
          <w:lang w:eastAsia="zh-CN" w:bidi="hi-IN"/>
        </w:rPr>
      </w:pPr>
      <w:r>
        <w:rPr>
          <w:rFonts w:eastAsia="Arial Unicode MS" w:cs="Arial Unicode MS"/>
          <w:color w:val="000000"/>
          <w:kern w:val="2"/>
          <w:szCs w:val="24"/>
          <w:lang w:eastAsia="zh-CN" w:bidi="hi-IN"/>
        </w:rPr>
        <w:t>Τα αισιόδοξα άτομα ζητούν να ενημερωθούν για τη νόσο</w:t>
      </w:r>
      <w:r w:rsidR="00F7158D">
        <w:rPr>
          <w:rFonts w:eastAsia="Arial Unicode MS" w:cs="Arial Unicode MS"/>
          <w:color w:val="000000"/>
          <w:kern w:val="2"/>
          <w:szCs w:val="24"/>
          <w:lang w:eastAsia="zh-CN" w:bidi="hi-IN"/>
        </w:rPr>
        <w:t>,</w:t>
      </w:r>
      <w:r>
        <w:rPr>
          <w:rFonts w:eastAsia="Arial Unicode MS" w:cs="Arial Unicode MS"/>
          <w:color w:val="000000"/>
          <w:kern w:val="2"/>
          <w:szCs w:val="24"/>
          <w:lang w:eastAsia="zh-CN" w:bidi="hi-IN"/>
        </w:rPr>
        <w:t xml:space="preserve"> τους κινδύνους που απορρέουν από αυτήν και τα οφέλη της θεραπείας. Συχνά κάνουν ερωτήσεις που μπορεί να προβληματίσουν τους επαγγελματίες υγείας. Κατόπιν ενημέρωσης, συμμετέχουν στη λήψη θεραπευτικών αποφάσεων, νιώθουν  ικανά να κάνουν επιλογές για τη θεραπεία τους και συμμορφώνονται καλύτερα στη θεραπευτική αγωγή. Αναλαμβάνουν τις ευθύνες για την υγεία τους, χωρίς να γίνονται βάρος στην οικογένεια και στον κοινωνικό τους περίγυρο. Υιοθετούν πιο υγιεινό τρόπο ζωής, περιορίζοντας το αλάτι στη δίαιτα, το κάπνισμα και τη χρήση αλκοόλ και  αυξάνουν τη σωματική άσκηση. Αναζητούν με υπομονή και επιμονή την επίλυση των προβλημάτων και καταφέρνουν να διαχειριστούν καλύτερα το στρες.</w:t>
      </w:r>
    </w:p>
    <w:p w:rsidR="001B3514" w:rsidRDefault="00782E3E">
      <w:pPr>
        <w:suppressAutoHyphens/>
        <w:spacing w:after="140"/>
        <w:rPr>
          <w:rFonts w:eastAsia="Arial Unicode MS" w:cs="Arial Unicode MS"/>
          <w:kern w:val="2"/>
          <w:szCs w:val="24"/>
          <w:lang w:eastAsia="zh-CN" w:bidi="hi-IN"/>
        </w:rPr>
      </w:pPr>
      <w:r>
        <w:rPr>
          <w:rFonts w:eastAsia="Arial Unicode MS" w:cs="Arial Unicode MS"/>
          <w:color w:val="000000"/>
          <w:kern w:val="2"/>
          <w:szCs w:val="24"/>
          <w:lang w:eastAsia="zh-CN" w:bidi="hi-IN"/>
        </w:rPr>
        <w:t>Η ψυχική διάθεση επηρεάζει και τις  κρίσεις, τις εντυπώσεις και τις αναμνήσεις. Μελέτες έχουν αποδείξει την ύπαρξη σχετικά αυξημένης δραστηριότητας στο αριστερό εγκεφαλικό ημισφαίριο σε παρουσία θετικών συναισθημάτων σε αντίθεση με την αύξηση εγκεφαλικής δραστηριότητας στο δεξί ημισφαίριο σε παρουσία αρνητικών συναισθημάτων(Tomarken et al. 1992; Lee at. al. 2004;   Davidson &amp; Henriques</w:t>
      </w:r>
      <w:r w:rsidR="00F7158D">
        <w:rPr>
          <w:rFonts w:eastAsia="Arial Unicode MS" w:cs="Arial Unicode MS"/>
          <w:color w:val="000000"/>
          <w:kern w:val="2"/>
          <w:szCs w:val="24"/>
          <w:lang w:eastAsia="zh-CN" w:bidi="hi-IN"/>
        </w:rPr>
        <w:t>,</w:t>
      </w:r>
      <w:r>
        <w:rPr>
          <w:rFonts w:eastAsia="Arial Unicode MS" w:cs="Arial Unicode MS"/>
          <w:color w:val="000000"/>
          <w:kern w:val="2"/>
          <w:szCs w:val="24"/>
          <w:lang w:eastAsia="zh-CN" w:bidi="hi-IN"/>
        </w:rPr>
        <w:t>2000).  Τα  θετικά συναισθήματα,  διευκολύνουν τις γνωστικές λειτουργίες, αυξάνουν την αυτοεκτίμηση και την αυτοπεποίθηση του ατόμου και καλλιεργούν την πνευματική ευελιξία, επιδρώντας θετικά στη διαχείρηση του στρες.</w:t>
      </w:r>
    </w:p>
    <w:p w:rsidR="001B3514" w:rsidRDefault="00782E3E">
      <w:pPr>
        <w:suppressAutoHyphens/>
        <w:spacing w:after="140"/>
        <w:rPr>
          <w:rFonts w:eastAsia="Arial Unicode MS" w:cs="Arial Unicode MS"/>
          <w:kern w:val="2"/>
          <w:szCs w:val="24"/>
          <w:lang w:eastAsia="zh-CN" w:bidi="hi-IN"/>
        </w:rPr>
      </w:pPr>
      <w:r>
        <w:rPr>
          <w:rFonts w:eastAsia="Arial Unicode MS" w:cs="Arial Unicode MS"/>
          <w:color w:val="000000"/>
          <w:kern w:val="2"/>
          <w:szCs w:val="24"/>
          <w:lang w:eastAsia="zh-CN" w:bidi="hi-IN"/>
        </w:rPr>
        <w:t xml:space="preserve">Ωστόσο, όταν υπάρχει μια επιπόλαιη ευδιαθεσία, το άτομο δεν εμφανίζει κάποια δέσμευση και βάζει την υγεία του σε κίνδυνο.Πρέπει να επισημανθεί πως τα αισιόδοξα άτομα δεν είναι αφελή απέναντι στις προκλήσεις και στις δυσκολίες της ζωής. Παρακολουθούν και αναγνωρίζουν το θετικό (Park </w:t>
      </w:r>
      <w:r>
        <w:rPr>
          <w:rFonts w:eastAsia="Arial Unicode MS" w:cs="Arial Unicode MS"/>
          <w:color w:val="000000"/>
          <w:kern w:val="2"/>
          <w:szCs w:val="24"/>
          <w:lang w:val="en-US" w:eastAsia="zh-CN" w:bidi="hi-IN"/>
        </w:rPr>
        <w:t>e</w:t>
      </w:r>
      <w:r>
        <w:rPr>
          <w:rFonts w:eastAsia="Arial Unicode MS" w:cs="Arial Unicode MS"/>
          <w:color w:val="000000"/>
          <w:kern w:val="2"/>
          <w:szCs w:val="24"/>
          <w:lang w:eastAsia="zh-CN" w:bidi="hi-IN"/>
        </w:rPr>
        <w:t>t al., 2016).</w:t>
      </w:r>
    </w:p>
    <w:p w:rsidR="001B3514" w:rsidRDefault="00782E3E">
      <w:pPr>
        <w:suppressAutoHyphens/>
        <w:spacing w:after="140"/>
        <w:rPr>
          <w:rFonts w:eastAsia="Arial Unicode MS" w:cs="Arial Unicode MS"/>
          <w:kern w:val="2"/>
          <w:szCs w:val="24"/>
          <w:lang w:eastAsia="zh-CN" w:bidi="hi-IN"/>
        </w:rPr>
      </w:pPr>
      <w:r>
        <w:rPr>
          <w:rFonts w:eastAsia="Arial Unicode MS" w:cs="Arial Unicode MS"/>
          <w:color w:val="000000"/>
          <w:kern w:val="2"/>
          <w:szCs w:val="24"/>
          <w:lang w:eastAsia="zh-CN" w:bidi="hi-IN"/>
        </w:rPr>
        <w:t>Η θρησκευτικότητα και η πνευματικότητα αποτελούν πηγές ελπίδας και βοήθειας για τη διαχείριση της ασθένειας. Συνδέονται με χαμηλότερα επίπεδα στρες, χαμηλότερη αρτηριακή πίεση και χαμηλότερο κίνδυνο εμφάνισης υπερτασικής νόσου.</w:t>
      </w:r>
    </w:p>
    <w:p w:rsidR="001B3514" w:rsidRDefault="00782E3E">
      <w:pPr>
        <w:suppressAutoHyphens/>
        <w:spacing w:after="140"/>
        <w:rPr>
          <w:rFonts w:eastAsia="Arial Unicode MS" w:cs="Arial Unicode MS"/>
          <w:kern w:val="2"/>
          <w:szCs w:val="24"/>
          <w:lang w:eastAsia="zh-CN" w:bidi="hi-IN"/>
        </w:rPr>
      </w:pPr>
      <w:r>
        <w:rPr>
          <w:rFonts w:eastAsia="Arial Unicode MS" w:cs="Arial Unicode MS"/>
          <w:color w:val="000000"/>
          <w:kern w:val="2"/>
          <w:szCs w:val="24"/>
          <w:lang w:eastAsia="zh-CN" w:bidi="hi-IN"/>
        </w:rPr>
        <w:lastRenderedPageBreak/>
        <w:t>Από την άλλη πλευρά, τα απαισιόδοξα άτομα έχουν έναν στερεότυπο τρόπο σκέψης, είναι πιο παθητικά και αναποφάσιστα και  εγκαταλείπουν γρήγορα τις προσπάθειες για την αντιμετώπιση των στρεσσογόνων γεγονότων, πέφτοντας έτσι σε απόγνωση και κατάθλιψη. Θεωρούν τη νόσο ως εσωτερικό</w:t>
      </w:r>
      <w:r w:rsidR="00F7158D">
        <w:rPr>
          <w:rFonts w:eastAsia="Arial Unicode MS" w:cs="Arial Unicode MS"/>
          <w:color w:val="000000"/>
          <w:kern w:val="2"/>
          <w:szCs w:val="24"/>
          <w:lang w:eastAsia="zh-CN" w:bidi="hi-IN"/>
        </w:rPr>
        <w:t>,</w:t>
      </w:r>
      <w:r>
        <w:rPr>
          <w:rFonts w:eastAsia="Arial Unicode MS" w:cs="Arial Unicode MS"/>
          <w:color w:val="000000"/>
          <w:kern w:val="2"/>
          <w:szCs w:val="24"/>
          <w:lang w:eastAsia="zh-CN" w:bidi="hi-IN"/>
        </w:rPr>
        <w:t xml:space="preserve"> σφαιρικό και μόνιμο πρόβλημα,</w:t>
      </w:r>
      <w:r w:rsidR="00F7158D" w:rsidRPr="00F7158D">
        <w:rPr>
          <w:rFonts w:eastAsia="Arial Unicode MS" w:cs="Arial Unicode MS"/>
          <w:color w:val="000000"/>
          <w:kern w:val="2"/>
          <w:szCs w:val="24"/>
          <w:lang w:eastAsia="zh-CN" w:bidi="hi-IN"/>
        </w:rPr>
        <w:t xml:space="preserve"> </w:t>
      </w:r>
      <w:r>
        <w:rPr>
          <w:rFonts w:eastAsia="Arial Unicode MS" w:cs="Arial Unicode MS"/>
          <w:color w:val="000000"/>
          <w:kern w:val="2"/>
          <w:szCs w:val="24"/>
          <w:lang w:eastAsia="zh-CN" w:bidi="hi-IN"/>
        </w:rPr>
        <w:t>που απορροφά όλη τους την ύπαρξη. Πρόκειται συχνά για εσωστρεφή άτομα, που δυσκολεύονται στις διαπροσωπικές τους σχέσεις και περιορίζουν με τον τρόπο αυτό τον κοινωνικό και υποστηρικτικό τους περίγυρο.</w:t>
      </w:r>
    </w:p>
    <w:p w:rsidR="001B3514" w:rsidRDefault="00782E3E">
      <w:pPr>
        <w:suppressAutoHyphens/>
        <w:spacing w:after="140"/>
        <w:rPr>
          <w:rFonts w:eastAsia="Arial Unicode MS" w:cs="Arial Unicode MS"/>
          <w:color w:val="000000"/>
          <w:kern w:val="2"/>
          <w:szCs w:val="24"/>
          <w:lang w:eastAsia="zh-CN" w:bidi="hi-IN"/>
        </w:rPr>
      </w:pPr>
      <w:r>
        <w:rPr>
          <w:rFonts w:eastAsia="Arial Unicode MS" w:cs="Arial Unicode MS"/>
          <w:color w:val="000000"/>
          <w:kern w:val="2"/>
          <w:szCs w:val="24"/>
          <w:lang w:eastAsia="zh-CN" w:bidi="hi-IN"/>
        </w:rPr>
        <w:t>Βέβαια, η απαισιοδοξία μπορεί να θεωρηθεί μια φυσιολογική αντίδραση στα πρώτα στάδια της νόσου, στην εμφάνιση των πρώτων επιπλοκών ή στη μη ικανοποιητική ρύθμιση της υπέρτασης με την φαρμακευτικά αγωγή. Όμως τα περισσότερα άτομα σύντομα γίνονται πιο αισιόδοξα, προσπαθούν να βρουν λύσεις στα προβλήματά τους και ελπίδα για το μέλλον (Πάσχος, 2018). Όταν η απαισιοδοξία γίνει μόνιμη, το άτομο  επιβαρύνεται συναισθηματικά και ο ασθενής γίνεται απαιτητικός, ευερέθιστος, αντικοινωνικός  και το στρες μόνιμο.</w:t>
      </w:r>
    </w:p>
    <w:p w:rsidR="001B3514" w:rsidRDefault="001B3514">
      <w:pPr>
        <w:suppressAutoHyphens/>
        <w:spacing w:after="140"/>
        <w:rPr>
          <w:rFonts w:eastAsia="Arial Unicode MS" w:cs="Arial Unicode MS"/>
          <w:kern w:val="2"/>
          <w:szCs w:val="24"/>
          <w:lang w:eastAsia="zh-CN" w:bidi="hi-IN"/>
        </w:rPr>
      </w:pPr>
    </w:p>
    <w:p w:rsidR="001B3514" w:rsidRDefault="00782E3E">
      <w:pPr>
        <w:pStyle w:val="3"/>
        <w:rPr>
          <w:lang w:eastAsia="zh-CN" w:bidi="hi-IN"/>
        </w:rPr>
      </w:pPr>
      <w:bookmarkStart w:id="26" w:name="_Toc64641760"/>
      <w:r>
        <w:rPr>
          <w:lang w:eastAsia="zh-CN" w:bidi="hi-IN"/>
        </w:rPr>
        <w:t>2.4.1 ΄Εκφραση Συναισθημάτων</w:t>
      </w:r>
      <w:bookmarkEnd w:id="26"/>
    </w:p>
    <w:p w:rsidR="001B3514" w:rsidRDefault="00782E3E">
      <w:pPr>
        <w:suppressAutoHyphens/>
        <w:spacing w:after="140"/>
        <w:rPr>
          <w:rFonts w:eastAsia="Arial Unicode MS" w:cs="Arial Unicode MS"/>
          <w:kern w:val="2"/>
          <w:szCs w:val="24"/>
          <w:lang w:eastAsia="zh-CN" w:bidi="hi-IN"/>
        </w:rPr>
      </w:pPr>
      <w:r>
        <w:rPr>
          <w:rFonts w:eastAsia="Arial Unicode MS" w:cs="Arial Unicode MS"/>
          <w:color w:val="000000"/>
          <w:kern w:val="2"/>
          <w:szCs w:val="24"/>
          <w:lang w:eastAsia="zh-CN" w:bidi="hi-IN"/>
        </w:rPr>
        <w:t>΄Εχει φανεί πως η αβίαστη έκφραση των συναισθημάτων, θετικών και αρνητικών, (συναισθηματική αποκάλυψη) κάνει το άτομο πιο ανθεκτικό στην εκδήλωση νόσων. Αντίθετα, όταν δεν υπάρχει εναλλαγή συναισθημάτων και το άτομο βιώνει για πολύ καιρό αρνητικά συναισθήματα παρατηρείται</w:t>
      </w:r>
      <w:r w:rsidR="00F7158D">
        <w:rPr>
          <w:rFonts w:eastAsia="Arial Unicode MS" w:cs="Arial Unicode MS"/>
          <w:color w:val="000000"/>
          <w:kern w:val="2"/>
          <w:szCs w:val="24"/>
          <w:lang w:eastAsia="zh-CN" w:bidi="hi-IN"/>
        </w:rPr>
        <w:t>,</w:t>
      </w:r>
      <w:r>
        <w:rPr>
          <w:rFonts w:eastAsia="Arial Unicode MS" w:cs="Arial Unicode MS"/>
          <w:color w:val="000000"/>
          <w:kern w:val="2"/>
          <w:szCs w:val="24"/>
          <w:lang w:eastAsia="zh-CN" w:bidi="hi-IN"/>
        </w:rPr>
        <w:t xml:space="preserve"> σύμφωνα με έρευνες της ψυχολόγου Margaret Kemeny εξάντληση του ανοσοποιητικού και νόσος. </w:t>
      </w:r>
    </w:p>
    <w:p w:rsidR="001B3514" w:rsidRDefault="00782E3E">
      <w:pPr>
        <w:suppressAutoHyphens/>
        <w:spacing w:after="140"/>
        <w:rPr>
          <w:rFonts w:eastAsia="Arial Unicode MS" w:cs="Arial Unicode MS"/>
          <w:kern w:val="2"/>
          <w:szCs w:val="24"/>
          <w:lang w:eastAsia="zh-CN" w:bidi="hi-IN"/>
        </w:rPr>
      </w:pPr>
      <w:r>
        <w:rPr>
          <w:rFonts w:eastAsia="Arial Unicode MS" w:cs="Arial Unicode MS"/>
          <w:color w:val="000000"/>
          <w:kern w:val="2"/>
          <w:szCs w:val="24"/>
          <w:lang w:eastAsia="zh-CN" w:bidi="hi-IN"/>
        </w:rPr>
        <w:t>Έχουν προταθεί πολλοί μηχανισμοί που συμβάλλουν στη θετική επίδραση της έκφρασης των συναισθημάτων στη διαχείριση της υπέρτασης. Η έκφραση της αγωνίας και του φόβου για μια ενδεχόμενη υπερτασική κρίση ή για τις επιπλοκές της υπέρτασης, όπως για ένα καρδιακό επεισόδιο ή ένα εγκεφαλικό, περιορίζουν το στρες και βοηθούν στην διαχείριση της νόσου αποτελεσματικότερα από την τακτική αποφυγής τέτοιων αρνητικών σκέψεων.</w:t>
      </w:r>
    </w:p>
    <w:p w:rsidR="001B3514" w:rsidRDefault="00782E3E">
      <w:pPr>
        <w:suppressAutoHyphens/>
        <w:spacing w:after="140"/>
        <w:rPr>
          <w:rFonts w:eastAsia="Arial Unicode MS" w:cs="Arial Unicode MS"/>
          <w:color w:val="000000"/>
          <w:kern w:val="2"/>
          <w:szCs w:val="24"/>
          <w:lang w:eastAsia="zh-CN" w:bidi="hi-IN"/>
        </w:rPr>
      </w:pPr>
      <w:r>
        <w:rPr>
          <w:rFonts w:eastAsia="Arial Unicode MS" w:cs="Arial Unicode MS"/>
          <w:color w:val="000000"/>
          <w:kern w:val="2"/>
          <w:szCs w:val="24"/>
          <w:lang w:eastAsia="zh-CN" w:bidi="hi-IN"/>
        </w:rPr>
        <w:t xml:space="preserve">Άτομα που έχουν καλές κοινωνικές σχέσεις και  επικοινωνία με το περιβάλλον και συμμετέχουν στις κοινωνικές δραστηριότητες ανταλλάσσουν συναισθήματα, δέχονται υποστήριξη, συμβουλές και πληροφορούνται καλύτερα για τη νόσο τους και την αποτελεσματικότερη διαχείρισή της. </w:t>
      </w:r>
    </w:p>
    <w:p w:rsidR="001B3514" w:rsidRDefault="001B3514">
      <w:pPr>
        <w:suppressAutoHyphens/>
        <w:spacing w:after="140"/>
        <w:rPr>
          <w:rFonts w:eastAsia="Arial Unicode MS" w:cs="Arial Unicode MS"/>
          <w:kern w:val="2"/>
          <w:szCs w:val="24"/>
          <w:lang w:eastAsia="zh-CN" w:bidi="hi-IN"/>
        </w:rPr>
      </w:pPr>
    </w:p>
    <w:p w:rsidR="001B3514" w:rsidRDefault="00782E3E">
      <w:pPr>
        <w:pStyle w:val="2"/>
        <w:rPr>
          <w:lang w:bidi="hi-IN"/>
        </w:rPr>
      </w:pPr>
      <w:bookmarkStart w:id="27" w:name="_Toc64641761"/>
      <w:r>
        <w:lastRenderedPageBreak/>
        <w:t>2.5</w:t>
      </w:r>
      <w:r>
        <w:rPr>
          <w:lang w:bidi="hi-IN"/>
        </w:rPr>
        <w:t xml:space="preserve"> Παράγοντες που επιδρούν στη θεραπεία</w:t>
      </w:r>
      <w:bookmarkEnd w:id="27"/>
    </w:p>
    <w:p w:rsidR="001B3514" w:rsidRDefault="00782E3E">
      <w:pPr>
        <w:suppressAutoHyphens/>
        <w:spacing w:after="140"/>
        <w:rPr>
          <w:rFonts w:eastAsia="Arial Unicode MS" w:cs="Arial Unicode MS"/>
          <w:kern w:val="2"/>
          <w:szCs w:val="24"/>
          <w:lang w:eastAsia="zh-CN" w:bidi="hi-IN"/>
        </w:rPr>
      </w:pPr>
      <w:r>
        <w:rPr>
          <w:rFonts w:eastAsia="Arial Unicode MS" w:cs="Arial Unicode MS"/>
          <w:color w:val="000000"/>
          <w:kern w:val="2"/>
          <w:szCs w:val="24"/>
          <w:lang w:eastAsia="zh-CN" w:bidi="hi-IN"/>
        </w:rPr>
        <w:t xml:space="preserve">Το χρόνιο στρες μπορεί  να είναι αποτέλεσμα μιας ζωής που απαιτεί την συνεχή προσαρμογή του ατόμου σε ένα ψυχοπιεστικό περιβάλλον (Gottlieb, 1997; Wheaton, 1994). </w:t>
      </w:r>
      <w:r>
        <w:rPr>
          <w:rFonts w:eastAsia="Arial Unicode MS" w:cs="Times New Roman"/>
          <w:color w:val="000000"/>
          <w:kern w:val="2"/>
          <w:szCs w:val="24"/>
          <w:lang w:eastAsia="zh-CN" w:bidi="hi-IN"/>
        </w:rPr>
        <w:t>Οικονομικοί και κ</w:t>
      </w:r>
      <w:r>
        <w:rPr>
          <w:rFonts w:eastAsia="Arial Unicode MS" w:cs="Liberation Serif"/>
          <w:color w:val="000000"/>
          <w:kern w:val="2"/>
          <w:szCs w:val="24"/>
          <w:lang w:eastAsia="zh-CN" w:bidi="hi-IN"/>
        </w:rPr>
        <w:t>οινωνικοί παράγοντες φαίνεται πως  συμβάλλουν στην έναρξη και πορεία της υπέρτασης. Σχετίζονται με τον τρόπο ζωής και τη συμπεριφορά του σύγχρονου ανθρώπου και του κοινωνικού συνόλου, καθώς έχει φανεί πως ο τρόπος ζωής συμβάλλει κατά 50% στο βαθμό υγείας του ατόμου (institute for future, 2000).</w:t>
      </w:r>
    </w:p>
    <w:p w:rsidR="001B3514" w:rsidRDefault="00782E3E">
      <w:pPr>
        <w:suppressAutoHyphens/>
        <w:spacing w:after="140"/>
        <w:rPr>
          <w:rFonts w:eastAsia="Arial Unicode MS" w:cs="Arial Unicode MS"/>
          <w:kern w:val="2"/>
          <w:szCs w:val="24"/>
          <w:lang w:eastAsia="zh-CN" w:bidi="hi-IN"/>
        </w:rPr>
      </w:pPr>
      <w:r>
        <w:rPr>
          <w:rFonts w:eastAsia="Arial Unicode MS" w:cs="Arial Unicode MS"/>
          <w:color w:val="000000"/>
          <w:kern w:val="2"/>
          <w:szCs w:val="24"/>
          <w:lang w:eastAsia="zh-CN" w:bidi="hi-IN"/>
        </w:rPr>
        <w:t xml:space="preserve">Άτομα από χαμηλότερα κοινωνικοοικονομικά στρώματα διατρέχουν μεγαλύτερο κίνδυνο να εμφανίσουν χαμηλά επίπεδα υγείας, χρησιμοποιούν λιγότερο τις υπηρεσίες πρόληψης υγείας και υιοθετούν πιο ανθυγιεινούς τρόπους ζωής. Η παρουσία φτώχειας αναγκάζει τα άτομα να αναζητήσουν πρωταρχικά τρόπους για να επιλύσουν τα οικονομικά τους προβλήματα και μετά να απευθυνθούν σε υπηρεσίες υγείας. Φαίνεται επίσης πως δεν διαθέτουν επαρκείς γνώσεις για την πρόσβαση σε φροντίδα υγείας και την αποτελεσματική επικοινωνία με τον γιατρό. </w:t>
      </w:r>
    </w:p>
    <w:p w:rsidR="001B3514" w:rsidRDefault="00782E3E">
      <w:pPr>
        <w:suppressAutoHyphens/>
        <w:spacing w:after="140"/>
        <w:rPr>
          <w:rFonts w:eastAsia="Arial Unicode MS" w:cs="Arial Unicode MS"/>
          <w:kern w:val="2"/>
          <w:szCs w:val="24"/>
          <w:lang w:eastAsia="zh-CN" w:bidi="hi-IN"/>
        </w:rPr>
      </w:pPr>
      <w:r>
        <w:rPr>
          <w:rFonts w:eastAsia="Arial Unicode MS" w:cs="Arial Unicode MS"/>
          <w:color w:val="000000"/>
          <w:kern w:val="2"/>
          <w:szCs w:val="24"/>
          <w:lang w:eastAsia="zh-CN" w:bidi="hi-IN"/>
        </w:rPr>
        <w:t>Η οικονομική κρίση επέδρασσε σημαντικά ώστε να αυξηθεί το ποσοστό ατόμων με υπέρταση στον ελλαδικό χώρο. Σύμφωνα με στοιχεία της ΕΛΣΤΑΤ για τα έτη 2000-2016, υπήρξε μεγάλη αύξηση, σχεδόν διπλασιασμός</w:t>
      </w:r>
      <w:r w:rsidR="00F7158D">
        <w:rPr>
          <w:rFonts w:eastAsia="Arial Unicode MS" w:cs="Arial Unicode MS"/>
          <w:color w:val="000000"/>
          <w:kern w:val="2"/>
          <w:szCs w:val="24"/>
          <w:lang w:eastAsia="zh-CN" w:bidi="hi-IN"/>
        </w:rPr>
        <w:t>,</w:t>
      </w:r>
      <w:r>
        <w:rPr>
          <w:rFonts w:eastAsia="Arial Unicode MS" w:cs="Arial Unicode MS"/>
          <w:color w:val="000000"/>
          <w:kern w:val="2"/>
          <w:szCs w:val="24"/>
          <w:lang w:eastAsia="zh-CN" w:bidi="hi-IN"/>
        </w:rPr>
        <w:t xml:space="preserve"> του αριθμού των θανάτων από υπέρταση μετά το 2012. Η γενικότερη αυτή τάση είναι κοινή και για τα δύο φύλα, ωστόσο υπάρχει ισχυρή διαφοροποίηση ανάλογα με την ηλικία</w:t>
      </w:r>
      <w:r w:rsidR="00F7158D">
        <w:rPr>
          <w:rFonts w:eastAsia="Arial Unicode MS" w:cs="Arial Unicode MS"/>
          <w:color w:val="000000"/>
          <w:kern w:val="2"/>
          <w:szCs w:val="24"/>
          <w:lang w:eastAsia="zh-CN" w:bidi="hi-IN"/>
        </w:rPr>
        <w:t>,</w:t>
      </w:r>
      <w:r>
        <w:rPr>
          <w:rFonts w:eastAsia="Arial Unicode MS" w:cs="Arial Unicode MS"/>
          <w:color w:val="000000"/>
          <w:kern w:val="2"/>
          <w:szCs w:val="24"/>
          <w:lang w:eastAsia="zh-CN" w:bidi="hi-IN"/>
        </w:rPr>
        <w:t xml:space="preserve"> τόσο για τους άνδρες όσο και για τις γυναίκες στο χρόνο (Καλοσακά &amp; Ζέρβας, 2019).</w:t>
      </w:r>
    </w:p>
    <w:p w:rsidR="001B3514" w:rsidRDefault="00782E3E">
      <w:pPr>
        <w:suppressAutoHyphens/>
        <w:spacing w:after="140"/>
        <w:rPr>
          <w:rFonts w:eastAsia="Arial Unicode MS" w:cs="Arial Unicode MS"/>
          <w:kern w:val="2"/>
          <w:szCs w:val="24"/>
          <w:lang w:eastAsia="zh-CN" w:bidi="hi-IN"/>
        </w:rPr>
      </w:pPr>
      <w:r>
        <w:rPr>
          <w:rFonts w:eastAsia="Arial Unicode MS" w:cs="Liberation Serif"/>
          <w:color w:val="000000"/>
          <w:kern w:val="2"/>
          <w:szCs w:val="24"/>
          <w:lang w:eastAsia="zh-CN" w:bidi="hi-IN"/>
        </w:rPr>
        <w:t>Το στρες που προκαλεί ο  φυλετικός ρατσισμός επιδρά στην κατάσταση υγείας και δυσχεραίνει τη  χρήση υπηρεσιών υγείας στις κοινωνικές αυτές ομάδες. Παρατηρείται υιοθέτηση ανθυγιεινών συνηθειών ζωής, όπως κάπνισμα, αλκοόλ και εξαρτησιογόνων ουσιών</w:t>
      </w:r>
      <w:r w:rsidR="00F7158D">
        <w:rPr>
          <w:rFonts w:eastAsia="Arial Unicode MS" w:cs="Liberation Serif"/>
          <w:color w:val="000000"/>
          <w:kern w:val="2"/>
          <w:szCs w:val="24"/>
          <w:lang w:eastAsia="zh-CN" w:bidi="hi-IN"/>
        </w:rPr>
        <w:t>,</w:t>
      </w:r>
      <w:r>
        <w:rPr>
          <w:rFonts w:eastAsia="Arial Unicode MS" w:cs="Liberation Serif"/>
          <w:color w:val="000000"/>
          <w:kern w:val="2"/>
          <w:szCs w:val="24"/>
          <w:lang w:eastAsia="zh-CN" w:bidi="hi-IN"/>
        </w:rPr>
        <w:t xml:space="preserve"> δεν υπάρχει εύκολη πρόσβαση σε  ιατρικές υπηρεσίες ενώ είναι συχνή η  περιθωριοποίηση και ο κοινωνικός αποκλεισμός. Ιδιαίτερα οι γυναίκες βιώνουν φόβο, θυμό</w:t>
      </w:r>
      <w:r w:rsidR="00F7158D">
        <w:rPr>
          <w:rFonts w:eastAsia="Arial Unicode MS" w:cs="Liberation Serif"/>
          <w:color w:val="000000"/>
          <w:kern w:val="2"/>
          <w:szCs w:val="24"/>
          <w:lang w:eastAsia="zh-CN" w:bidi="hi-IN"/>
        </w:rPr>
        <w:t>,</w:t>
      </w:r>
      <w:r>
        <w:rPr>
          <w:rFonts w:eastAsia="Arial Unicode MS" w:cs="Liberation Serif"/>
          <w:color w:val="000000"/>
          <w:kern w:val="2"/>
          <w:szCs w:val="24"/>
          <w:lang w:eastAsia="zh-CN" w:bidi="hi-IN"/>
        </w:rPr>
        <w:t xml:space="preserve"> δεν εμπιστεύονται εύκολα τις υπηρεσίες υγείας και δεν ακολουθούν συχνά τις ιατρικές οδηγίες. </w:t>
      </w:r>
      <w:r>
        <w:rPr>
          <w:rFonts w:eastAsia="Arial Unicode MS" w:cs="Arial Unicode MS"/>
          <w:color w:val="000000"/>
          <w:kern w:val="2"/>
          <w:szCs w:val="24"/>
          <w:lang w:eastAsia="zh-CN" w:bidi="hi-IN"/>
        </w:rPr>
        <w:t>Οι μετανάστες</w:t>
      </w:r>
      <w:r w:rsidR="00F7158D">
        <w:rPr>
          <w:rFonts w:eastAsia="Arial Unicode MS" w:cs="Arial Unicode MS"/>
          <w:color w:val="000000"/>
          <w:kern w:val="2"/>
          <w:szCs w:val="24"/>
          <w:lang w:eastAsia="zh-CN" w:bidi="hi-IN"/>
        </w:rPr>
        <w:t>,</w:t>
      </w:r>
      <w:r>
        <w:rPr>
          <w:rFonts w:eastAsia="Arial Unicode MS" w:cs="Arial Unicode MS"/>
          <w:color w:val="000000"/>
          <w:kern w:val="2"/>
          <w:szCs w:val="24"/>
          <w:lang w:eastAsia="zh-CN" w:bidi="hi-IN"/>
        </w:rPr>
        <w:t xml:space="preserve"> πολιτικοί και οικονομικοί, βρίσκονται συχνά αντιμέτωποι με παρόμοια φαινόμενα και βιώνουν άγχος.</w:t>
      </w:r>
    </w:p>
    <w:p w:rsidR="001B3514" w:rsidRDefault="00782E3E">
      <w:pPr>
        <w:suppressAutoHyphens/>
        <w:spacing w:after="140"/>
        <w:rPr>
          <w:rFonts w:eastAsia="Arial Unicode MS" w:cs="Arial Unicode MS"/>
          <w:kern w:val="2"/>
          <w:szCs w:val="24"/>
          <w:lang w:eastAsia="zh-CN" w:bidi="hi-IN"/>
        </w:rPr>
      </w:pPr>
      <w:r>
        <w:rPr>
          <w:rFonts w:eastAsia="Arial Unicode MS" w:cs="Arial Unicode MS"/>
          <w:color w:val="000000"/>
          <w:kern w:val="2"/>
          <w:szCs w:val="24"/>
          <w:lang w:eastAsia="zh-CN" w:bidi="hi-IN"/>
        </w:rPr>
        <w:t xml:space="preserve">Η διατήρηση της εργασίας, ως πηγή ικανοποίησης και συνεισφοράς στην οικογένεια, είναι σημαντική. Το εργασιακό στρες αποτελεί μια από τις σημαντικότερες πηγές χρόνιου στρες στο </w:t>
      </w:r>
      <w:r>
        <w:rPr>
          <w:rFonts w:eastAsia="Arial Unicode MS" w:cs="Arial Unicode MS"/>
          <w:color w:val="000000"/>
          <w:kern w:val="2"/>
          <w:szCs w:val="24"/>
          <w:lang w:eastAsia="zh-CN" w:bidi="hi-IN"/>
        </w:rPr>
        <w:lastRenderedPageBreak/>
        <w:t>σύγχρονο κόσμο, καθώς οι άνθρωποι αφιερώνουν μεγάλο μέρος της ζωής τους στην εργασία. Αυτή η μορφή στρες επηρεάζει αρνητικά την παραγωγικότητα και την υγεία των εργαζομένων και σχετίζεται με αύξηση χαμένων ωρών εργασίας</w:t>
      </w:r>
      <w:r w:rsidR="00F7158D">
        <w:rPr>
          <w:rFonts w:eastAsia="Arial Unicode MS" w:cs="Arial Unicode MS"/>
          <w:color w:val="000000"/>
          <w:kern w:val="2"/>
          <w:szCs w:val="24"/>
          <w:lang w:eastAsia="zh-CN" w:bidi="hi-IN"/>
        </w:rPr>
        <w:t>,</w:t>
      </w:r>
      <w:r>
        <w:rPr>
          <w:rFonts w:eastAsia="Arial Unicode MS" w:cs="Arial Unicode MS"/>
          <w:color w:val="000000"/>
          <w:kern w:val="2"/>
          <w:szCs w:val="24"/>
          <w:lang w:eastAsia="zh-CN" w:bidi="hi-IN"/>
        </w:rPr>
        <w:t xml:space="preserve"> εργατικών ατυχημάτων</w:t>
      </w:r>
      <w:r w:rsidR="00F7158D">
        <w:rPr>
          <w:rFonts w:eastAsia="Arial Unicode MS" w:cs="Arial Unicode MS"/>
          <w:color w:val="000000"/>
          <w:kern w:val="2"/>
          <w:szCs w:val="24"/>
          <w:lang w:eastAsia="zh-CN" w:bidi="hi-IN"/>
        </w:rPr>
        <w:t>,</w:t>
      </w:r>
      <w:r>
        <w:rPr>
          <w:rFonts w:eastAsia="Arial Unicode MS" w:cs="Arial Unicode MS"/>
          <w:color w:val="000000"/>
          <w:kern w:val="2"/>
          <w:szCs w:val="24"/>
          <w:lang w:eastAsia="zh-CN" w:bidi="hi-IN"/>
        </w:rPr>
        <w:t xml:space="preserve"> συχνότητας ανανέωσης του εργατικού δυναμικού και πρόκλησης ψυχικής αποδιοργάνωσης (Di Matteo). Άτομα</w:t>
      </w:r>
      <w:r w:rsidR="00F7158D">
        <w:rPr>
          <w:rFonts w:eastAsia="Arial Unicode MS" w:cs="Arial Unicode MS"/>
          <w:color w:val="000000"/>
          <w:kern w:val="2"/>
          <w:szCs w:val="24"/>
          <w:lang w:eastAsia="zh-CN" w:bidi="hi-IN"/>
        </w:rPr>
        <w:t>,</w:t>
      </w:r>
      <w:r>
        <w:rPr>
          <w:rFonts w:eastAsia="Arial Unicode MS" w:cs="Arial Unicode MS"/>
          <w:color w:val="000000"/>
          <w:kern w:val="2"/>
          <w:szCs w:val="24"/>
          <w:lang w:eastAsia="zh-CN" w:bidi="hi-IN"/>
        </w:rPr>
        <w:t xml:space="preserve"> που η εργασία τους τα καθιστά υπεύθυνα για τη ζωή άλλων, εμφανίζουν υψηλότερα επίπεδα υπέρτασης από άλλα που δεν έχουν παρόμοιες ευθύνες. Ακόμα, οι δράσεις των φαρμάκων μπορεί να αποτελούν αιτία άγχους και μη ικανοποιητικής απόδοσης στον εργασιακό τομέα.</w:t>
      </w:r>
    </w:p>
    <w:p w:rsidR="001B3514" w:rsidRDefault="00782E3E">
      <w:pPr>
        <w:suppressAutoHyphens/>
        <w:spacing w:after="140"/>
        <w:rPr>
          <w:rFonts w:eastAsia="Arial Unicode MS" w:cs="Arial Unicode MS"/>
          <w:kern w:val="2"/>
          <w:szCs w:val="24"/>
          <w:lang w:eastAsia="zh-CN" w:bidi="hi-IN"/>
        </w:rPr>
      </w:pPr>
      <w:r>
        <w:rPr>
          <w:rFonts w:eastAsia="Arial Unicode MS" w:cs="Arial Unicode MS"/>
          <w:color w:val="000000"/>
          <w:kern w:val="2"/>
          <w:szCs w:val="24"/>
          <w:lang w:eastAsia="zh-CN" w:bidi="hi-IN"/>
        </w:rPr>
        <w:t xml:space="preserve">Έχει φανεί πως η ηλικία της διάγνωσης είναι σημαντική για την προσαρμογή στη νόσο. Επίσης, η διατήρηση ερωτικών σχέσεων συντελεί στην πιο θετική αντιμετώπιση της νόσου και στην καλύτερη ποιότητα ζωής. </w:t>
      </w:r>
    </w:p>
    <w:p w:rsidR="001B3514" w:rsidRDefault="00782E3E">
      <w:pPr>
        <w:suppressAutoHyphens/>
        <w:spacing w:after="140"/>
        <w:rPr>
          <w:rFonts w:eastAsia="Arial Unicode MS" w:cs="Arial Unicode MS"/>
          <w:kern w:val="2"/>
          <w:szCs w:val="24"/>
          <w:lang w:eastAsia="zh-CN" w:bidi="hi-IN"/>
        </w:rPr>
      </w:pPr>
      <w:r>
        <w:rPr>
          <w:rFonts w:eastAsia="Arial Unicode MS" w:cs="Arial Unicode MS"/>
          <w:color w:val="000000"/>
          <w:kern w:val="2"/>
          <w:szCs w:val="24"/>
          <w:lang w:eastAsia="zh-CN" w:bidi="hi-IN"/>
        </w:rPr>
        <w:t>Η χρήση της τεχνολογίας στην επικοινωνία και στην πληροφόρηση, επιτρέπει τα υπερτασικά άτομα να ανταλλάσσουν πληροφορίες στα μέσα κοινωνικής δικτύωσης και χωρίς την παρουσία φυσικών προσώπων. Η πληροφόρηση συντελεί ώστε να μην επηρεάζονται βαθιά οι κοινωνικές δραστηριότητες και οι  διαπροσωπικές σχέσεις. Για παράδειγμα, η γνώση για τις ανεπιθύμητες ενέργειες από τη δράση των αντιυπερτασικών φαρμάκων, μειώνει το άγχος και βελτιώνει την αυτοεκτίμηση, καθώς γίνεται γνωστό πως μια αγωγή π.χ. με διουρητικά προκαλεί  έγκαιρη κένωση της ουροδόχου κύστης και αίσθημα ακράτειας των ούρων, μια αγωγή με b-blockers προκαλεί συχνά στυτική δυσλειτουργία στους άνδρες</w:t>
      </w:r>
      <w:r w:rsidR="00F7158D">
        <w:rPr>
          <w:rFonts w:eastAsia="Arial Unicode MS" w:cs="Arial Unicode MS"/>
          <w:color w:val="000000"/>
          <w:kern w:val="2"/>
          <w:szCs w:val="24"/>
          <w:lang w:eastAsia="zh-CN" w:bidi="hi-IN"/>
        </w:rPr>
        <w:t>,</w:t>
      </w:r>
      <w:r>
        <w:rPr>
          <w:rFonts w:eastAsia="Arial Unicode MS" w:cs="Arial Unicode MS"/>
          <w:color w:val="000000"/>
          <w:kern w:val="2"/>
          <w:szCs w:val="24"/>
          <w:lang w:eastAsia="zh-CN" w:bidi="hi-IN"/>
        </w:rPr>
        <w:t xml:space="preserve">ενώ μια αγωγή με  ανταγωνιστές διαύλων ασβεστίου, μπορεί να επηρεάσει την εικόνα του εαυτού λόγω πρόκλησης περιφερικών οιδημάτων. </w:t>
      </w:r>
    </w:p>
    <w:p w:rsidR="001B3514" w:rsidRDefault="00782E3E">
      <w:pPr>
        <w:pStyle w:val="1"/>
        <w:rPr>
          <w:lang w:eastAsia="zh-CN" w:bidi="hi-IN"/>
        </w:rPr>
      </w:pPr>
      <w:bookmarkStart w:id="28" w:name="_Toc64641762"/>
      <w:r>
        <w:rPr>
          <w:lang w:eastAsia="zh-CN" w:bidi="hi-IN"/>
        </w:rPr>
        <w:t>3. Παράγοντες που επιδρούν στη θεραπεία και συμμόρφωση του υπερτασικού ασθενούς</w:t>
      </w:r>
      <w:bookmarkEnd w:id="28"/>
    </w:p>
    <w:p w:rsidR="001B3514" w:rsidRDefault="00782E3E">
      <w:pPr>
        <w:pStyle w:val="2"/>
        <w:rPr>
          <w:lang w:bidi="hi-IN"/>
        </w:rPr>
      </w:pPr>
      <w:bookmarkStart w:id="29" w:name="_Toc64641763"/>
      <w:r>
        <w:t>3.1</w:t>
      </w:r>
      <w:r>
        <w:rPr>
          <w:lang w:bidi="hi-IN"/>
        </w:rPr>
        <w:t xml:space="preserve"> Γενικές αρχές</w:t>
      </w:r>
      <w:bookmarkEnd w:id="29"/>
    </w:p>
    <w:p w:rsidR="001B0C6A" w:rsidRPr="001B0C6A" w:rsidRDefault="001B0C6A" w:rsidP="001B0C6A">
      <w:pPr>
        <w:suppressAutoHyphens/>
        <w:spacing w:after="140"/>
        <w:rPr>
          <w:rFonts w:eastAsia="Arial Unicode MS" w:cs="Arial Unicode MS"/>
          <w:kern w:val="2"/>
          <w:szCs w:val="24"/>
          <w:lang w:eastAsia="zh-CN" w:bidi="hi-IN"/>
        </w:rPr>
      </w:pPr>
      <w:r w:rsidRPr="001B0C6A">
        <w:rPr>
          <w:rFonts w:eastAsia="Arial Unicode MS" w:cs="Arial Unicode MS"/>
          <w:kern w:val="2"/>
          <w:szCs w:val="24"/>
          <w:lang w:eastAsia="zh-CN" w:bidi="hi-IN"/>
        </w:rPr>
        <w:t xml:space="preserve">Οι τρόποι με τους οποίους οι ασθενείς καταφέρνουν να συμμορφώνονται στις θεραπευτικές οδηγίες είναι ιδιαίτερα σημαντικός και τα τελευταία χρόνια έχει απασχολήσει την επιστημονική </w:t>
      </w:r>
      <w:r w:rsidRPr="001B0C6A">
        <w:rPr>
          <w:rFonts w:eastAsia="Arial Unicode MS" w:cs="Arial Unicode MS"/>
          <w:kern w:val="2"/>
          <w:szCs w:val="24"/>
          <w:lang w:eastAsia="zh-CN" w:bidi="hi-IN"/>
        </w:rPr>
        <w:lastRenderedPageBreak/>
        <w:t xml:space="preserve">κοινότητα και πολλές είναι οι ερευνητικές μελέτες που αφορούν στη σχέση αυτής της συμμόρφωσης με την προσωπικότητα των ασθενών αλλά και την ποιότητα ζωής τους. </w:t>
      </w:r>
    </w:p>
    <w:p w:rsidR="001B0C6A" w:rsidRDefault="001B0C6A" w:rsidP="001B0C6A">
      <w:pPr>
        <w:suppressAutoHyphens/>
        <w:spacing w:after="140"/>
        <w:rPr>
          <w:rFonts w:eastAsia="Arial Unicode MS" w:cs="Arial Unicode MS"/>
          <w:kern w:val="2"/>
          <w:szCs w:val="24"/>
          <w:lang w:eastAsia="zh-CN" w:bidi="hi-IN"/>
        </w:rPr>
      </w:pPr>
      <w:r w:rsidRPr="001B0C6A">
        <w:rPr>
          <w:rFonts w:eastAsia="Arial Unicode MS" w:cs="Arial Unicode MS"/>
          <w:kern w:val="2"/>
          <w:szCs w:val="24"/>
          <w:lang w:eastAsia="zh-CN" w:bidi="hi-IN"/>
        </w:rPr>
        <w:t>Η έννοια, όμως, της «συμμόρφωσης στη θεραπευτική αγωγή» και οι μέθοδοι αξιολόγησής της ως ορισμοί αντιμετωπίζουν επιστημονικά ζητήματα με ιδιαίτερο την τήρηση των ιατρικών  οδηγιών, που σύμφωνα με τον Καραδήμα (2005) αντιμετωπίζεται περισσότερο πατερναλιστικά χωρίς να λαμβάνει υπόψη ούτε την πολυπλοκότητα και τους στόχους της συμπεριφοράς των ασθενών αλλά ούτε και τις σύγχρονες απόψεις για τον κατάλληλο τρόπο παροχής υπηρεσιών υγείας, με αποτέλεσμα να προτείνονται εναλλακτικοί όροι όπως «συμπεριφορές αυτο-φροντίδας»  και  «αυτοέλεγχος σε ιατρικά ζητήματα».</w:t>
      </w:r>
    </w:p>
    <w:p w:rsidR="001B3514" w:rsidRDefault="000C5A2E">
      <w:pPr>
        <w:suppressAutoHyphens/>
        <w:spacing w:after="140"/>
        <w:rPr>
          <w:rFonts w:eastAsia="Arial Unicode MS" w:cs="Liberation Serif"/>
          <w:color w:val="000000"/>
          <w:kern w:val="2"/>
          <w:szCs w:val="24"/>
          <w:lang w:eastAsia="zh-CN" w:bidi="hi-IN"/>
        </w:rPr>
      </w:pPr>
      <w:r>
        <w:rPr>
          <w:rFonts w:eastAsia="Arial Unicode MS" w:cs="Liberation Serif"/>
          <w:color w:val="000000"/>
          <w:kern w:val="2"/>
          <w:szCs w:val="24"/>
          <w:lang w:eastAsia="zh-CN" w:bidi="hi-IN"/>
        </w:rPr>
        <w:t xml:space="preserve">Ο ορισμός για τη θεραπευτική συμμόρφωση που χρησιμοποιείται από τον Παγκόσμιο Οργανισμό Υγείας (ΠΟΥ) αναδεικνύει τον βαθμό που η συμπεριφορά του ασθενούς απέναντι στην τήρηση των οδηγιών της θεραπευτικής αγωγής ταυτίζεται με τις θεραπευτικές οδηγίες  </w:t>
      </w:r>
      <w:r w:rsidR="00782E3E">
        <w:rPr>
          <w:rFonts w:eastAsia="Arial Unicode MS" w:cs="Liberation Serif"/>
          <w:color w:val="000000"/>
          <w:kern w:val="2"/>
          <w:szCs w:val="24"/>
          <w:lang w:eastAsia="zh-CN" w:bidi="hi-IN"/>
        </w:rPr>
        <w:t>(ΠΟΥ,</w:t>
      </w:r>
      <w:r>
        <w:rPr>
          <w:rFonts w:eastAsia="Arial Unicode MS" w:cs="Liberation Serif"/>
          <w:color w:val="000000"/>
          <w:kern w:val="2"/>
          <w:szCs w:val="24"/>
          <w:lang w:eastAsia="zh-CN" w:bidi="hi-IN"/>
        </w:rPr>
        <w:t xml:space="preserve"> </w:t>
      </w:r>
      <w:r w:rsidR="00782E3E">
        <w:rPr>
          <w:rFonts w:eastAsia="Arial Unicode MS" w:cs="Liberation Serif"/>
          <w:color w:val="000000"/>
          <w:kern w:val="2"/>
          <w:szCs w:val="24"/>
          <w:lang w:eastAsia="zh-CN" w:bidi="hi-IN"/>
        </w:rPr>
        <w:t>2003).</w:t>
      </w:r>
    </w:p>
    <w:p w:rsidR="000C5A2E" w:rsidRPr="000C5A2E" w:rsidRDefault="000C5A2E" w:rsidP="000C5A2E">
      <w:pPr>
        <w:suppressAutoHyphens/>
        <w:spacing w:after="140"/>
        <w:rPr>
          <w:rFonts w:eastAsia="Arial Unicode MS" w:cs="Arial Unicode MS"/>
          <w:kern w:val="2"/>
          <w:szCs w:val="24"/>
          <w:lang w:eastAsia="zh-CN" w:bidi="hi-IN"/>
        </w:rPr>
      </w:pPr>
      <w:r w:rsidRPr="000C5A2E">
        <w:rPr>
          <w:rFonts w:eastAsia="Arial Unicode MS" w:cs="Arial Unicode MS"/>
          <w:kern w:val="2"/>
          <w:szCs w:val="24"/>
          <w:lang w:eastAsia="zh-CN" w:bidi="hi-IN"/>
        </w:rPr>
        <w:t>Η αξιολόγηση της συμμόρφωσης στη θεραπεία δεν αποτελεί εύκολη πρακτική. Για την εκτίμησή της χρησιμοποιούνται συνήθως αυτοαναφορές ασθενών, με την κλίμακα Morisky να αποτελεί την πιο συχνή χρησιμοποιούμενη κλίμακα αυτοαναφοράς σε ασθένειες, όπως η υπέρταση. Επειδή όμως χαρακτηρίζεται από την υποκειμενικότητα του ασθενούς και μπορεί να οδηγήσει σε εσφαλμένα συμπεράσματα, θεωρούνται ως πιο αντικειμενικές, αν και υψηλού κόστους,  οι αξιολογήσεις που αναφέρονται στη χρονική καταγραφή των δόσεων της φαρμακευτικής αγωγής και στη χρήση μικρο-ηλεκτρομηχανικών συστημάτων στην παρακολούθηση της λήψης των φαρμάκων (MEMS) όπως και η βάση δεδομένων στα φαρμακεία (Κίκηρα &amp; Τσάμη, 2017), καθώς και οι μετρήσεις κάποιων βιοχημικών δεικτών σε χρόνιους ασθενείς  (Theofilou, 2013). Βέβαια, πιο δύσκολη πρακτική αφορά στην αξιολόγηση της συμμόρφωσης στη σωματική άσκηση και στη δίαιτα, καθώς δεν υπάρχει ένα κοινώς αποδεκτό κριτήριο που να καθορίζει την καλή ή αποδεκτή συμμόρφωση.</w:t>
      </w:r>
    </w:p>
    <w:p w:rsidR="000C5A2E" w:rsidRDefault="000C5A2E" w:rsidP="000C5A2E">
      <w:pPr>
        <w:suppressAutoHyphens/>
        <w:spacing w:after="140"/>
        <w:rPr>
          <w:rFonts w:eastAsia="Arial Unicode MS" w:cs="Arial Unicode MS"/>
          <w:kern w:val="2"/>
          <w:szCs w:val="24"/>
          <w:lang w:eastAsia="zh-CN" w:bidi="hi-IN"/>
        </w:rPr>
      </w:pPr>
      <w:r w:rsidRPr="000C5A2E">
        <w:rPr>
          <w:rFonts w:eastAsia="Arial Unicode MS" w:cs="Arial Unicode MS"/>
          <w:kern w:val="2"/>
          <w:szCs w:val="24"/>
          <w:lang w:eastAsia="zh-CN" w:bidi="hi-IN"/>
        </w:rPr>
        <w:t xml:space="preserve">Σύμφωνα με τους Jin και συν. (2008), η μη-συμμόρφωση στη λήψη της φαρμακευτικής αγωγής μπορεί να οφείλεται στη μη εκτέλεση της ιατρικής συνταγής, στη μη λήψη επαρκούς δόσης του φαρμάκου, στη λαθεμένη χρονική λήψη του φαρμάκου, στην υπο- ή υπερ-δοσολογία του φαρμάκου, στην πρώιμη διακοπή της αγωγής, στη μη καλή πρόσβαση στο σύστημα υγείας, στην </w:t>
      </w:r>
      <w:r w:rsidRPr="000C5A2E">
        <w:rPr>
          <w:rFonts w:eastAsia="Arial Unicode MS" w:cs="Arial Unicode MS"/>
          <w:kern w:val="2"/>
          <w:szCs w:val="24"/>
          <w:lang w:eastAsia="zh-CN" w:bidi="hi-IN"/>
        </w:rPr>
        <w:lastRenderedPageBreak/>
        <w:t>αδυναμία κατανόησης των ιατρικών οδηγιών και στη λήψη αγωγής μόνο κατά την περίοδο του ιατρικού ραντεβού.</w:t>
      </w:r>
    </w:p>
    <w:p w:rsidR="001B3514" w:rsidRDefault="001B3514">
      <w:pPr>
        <w:suppressAutoHyphens/>
        <w:spacing w:after="140"/>
        <w:rPr>
          <w:rFonts w:eastAsia="Arial Unicode MS" w:cs="Arial Unicode MS"/>
          <w:kern w:val="2"/>
          <w:szCs w:val="24"/>
          <w:lang w:eastAsia="zh-CN" w:bidi="hi-IN"/>
        </w:rPr>
      </w:pPr>
    </w:p>
    <w:p w:rsidR="001B3514" w:rsidRDefault="00782E3E">
      <w:pPr>
        <w:pStyle w:val="2"/>
        <w:rPr>
          <w:lang w:bidi="hi-IN"/>
        </w:rPr>
      </w:pPr>
      <w:bookmarkStart w:id="30" w:name="_Toc64641764"/>
      <w:r>
        <w:t xml:space="preserve">3.2 </w:t>
      </w:r>
      <w:r>
        <w:rPr>
          <w:lang w:bidi="hi-IN"/>
        </w:rPr>
        <w:t>Ιστορική αναδρομή</w:t>
      </w:r>
      <w:bookmarkEnd w:id="30"/>
      <w:r>
        <w:rPr>
          <w:lang w:bidi="hi-IN"/>
        </w:rPr>
        <w:t xml:space="preserve"> </w:t>
      </w:r>
    </w:p>
    <w:p w:rsidR="000C5A2E" w:rsidRPr="000C5A2E" w:rsidRDefault="000C5A2E" w:rsidP="000C5A2E">
      <w:pPr>
        <w:suppressAutoHyphens/>
        <w:spacing w:after="140"/>
        <w:rPr>
          <w:rFonts w:eastAsia="Arial Unicode MS" w:cs="Liberation Serif"/>
          <w:color w:val="000000"/>
          <w:kern w:val="2"/>
          <w:szCs w:val="24"/>
          <w:lang w:eastAsia="zh-CN" w:bidi="hi-IN"/>
        </w:rPr>
      </w:pPr>
      <w:r w:rsidRPr="000C5A2E">
        <w:rPr>
          <w:rFonts w:eastAsia="Arial Unicode MS" w:cs="Liberation Serif"/>
          <w:color w:val="000000"/>
          <w:kern w:val="2"/>
          <w:szCs w:val="24"/>
          <w:lang w:eastAsia="zh-CN" w:bidi="hi-IN"/>
        </w:rPr>
        <w:t>Από την εποχή του Ιπποκράτη είναι γνωστό το ζήτημα της μη τήρησης των ιατρικών συστάσεων. Σημερινά στοιχεία από τον Παγκόσμιο Οργανισμό Υγείας αναδεικνύουν πως το ποσοστό μη συμμόρφωσης των ασθενών σε παγκόσμιο επίπεδο ανέρχεται στο 50% στους χρόνιους πάσχοντες στα αναπτυγμένα κράτη, ενώ είναι ακόμη μεγαλύτερο στα αναπτυσσόμενα (Βενέτη, 2018 - Theofilou, 2013). H επιβάρυνση των συστημάτων υγείας είναι τεράστια, καθώς ξοδεύονται πάνω από 125 δις ευρώ ετησίως λόγω της μη συμμόρφωσης στη θεραπεία (Βενέτη, 2018) και παράλληλα αυξάνονται οι πιθανότητες αποτυχίας της θεραπείας.</w:t>
      </w:r>
    </w:p>
    <w:p w:rsidR="000C5A2E" w:rsidRDefault="000C5A2E" w:rsidP="000C5A2E">
      <w:pPr>
        <w:suppressAutoHyphens/>
        <w:spacing w:after="140"/>
        <w:rPr>
          <w:rFonts w:eastAsia="Arial Unicode MS" w:cs="Liberation Serif"/>
          <w:color w:val="000000"/>
          <w:kern w:val="2"/>
          <w:szCs w:val="24"/>
          <w:lang w:eastAsia="zh-CN" w:bidi="hi-IN"/>
        </w:rPr>
      </w:pPr>
      <w:r w:rsidRPr="000C5A2E">
        <w:rPr>
          <w:rFonts w:eastAsia="Arial Unicode MS" w:cs="Liberation Serif"/>
          <w:color w:val="000000"/>
          <w:kern w:val="2"/>
          <w:szCs w:val="24"/>
          <w:lang w:eastAsia="zh-CN" w:bidi="hi-IN"/>
        </w:rPr>
        <w:t>Σύμφωνα, δε, με στοιχεία της ΑΗΑ το ποσοστό σωστής ρύθμισης της αρτηριακής πίεσης παγκοσμίως δεν φαίνεται να ξεπερνά το 27,4 % (AHA, 2017).</w:t>
      </w:r>
    </w:p>
    <w:p w:rsidR="001B3514" w:rsidRDefault="001B3514">
      <w:pPr>
        <w:suppressAutoHyphens/>
        <w:spacing w:after="140"/>
        <w:rPr>
          <w:rFonts w:eastAsia="Arial Unicode MS" w:cs="Arial Unicode MS"/>
          <w:kern w:val="2"/>
          <w:szCs w:val="24"/>
          <w:lang w:eastAsia="zh-CN" w:bidi="hi-IN"/>
        </w:rPr>
      </w:pPr>
    </w:p>
    <w:p w:rsidR="001B3514" w:rsidRDefault="00782E3E">
      <w:pPr>
        <w:pStyle w:val="2"/>
        <w:rPr>
          <w:lang w:bidi="hi-IN"/>
        </w:rPr>
      </w:pPr>
      <w:bookmarkStart w:id="31" w:name="_Toc64641765"/>
      <w:r>
        <w:t xml:space="preserve">3.3 </w:t>
      </w:r>
      <w:r>
        <w:rPr>
          <w:lang w:bidi="hi-IN"/>
        </w:rPr>
        <w:t>Στοιχεία από τον ελλαδικό χώρο</w:t>
      </w:r>
      <w:bookmarkEnd w:id="31"/>
    </w:p>
    <w:p w:rsidR="001B3514" w:rsidRDefault="00782E3E">
      <w:pPr>
        <w:suppressAutoHyphens/>
        <w:spacing w:after="140"/>
        <w:rPr>
          <w:rFonts w:eastAsia="Arial Unicode MS" w:cs="Arial Unicode MS"/>
          <w:kern w:val="2"/>
          <w:szCs w:val="24"/>
          <w:lang w:eastAsia="zh-CN" w:bidi="hi-IN"/>
        </w:rPr>
      </w:pPr>
      <w:r>
        <w:rPr>
          <w:rFonts w:eastAsia="Arial Unicode MS" w:cs="Liberation Serif"/>
          <w:color w:val="000000"/>
          <w:kern w:val="2"/>
          <w:szCs w:val="24"/>
          <w:lang w:eastAsia="zh-CN" w:bidi="hi-IN"/>
        </w:rPr>
        <w:t>Στην Ελλάδα ο καρδιαγγειακός κίνδυνος</w:t>
      </w:r>
      <w:r w:rsidR="00F7158D">
        <w:rPr>
          <w:rFonts w:eastAsia="Arial Unicode MS" w:cs="Liberation Serif"/>
          <w:color w:val="000000"/>
          <w:kern w:val="2"/>
          <w:szCs w:val="24"/>
          <w:lang w:eastAsia="zh-CN" w:bidi="hi-IN"/>
        </w:rPr>
        <w:t>,</w:t>
      </w:r>
      <w:r w:rsidR="00F7158D" w:rsidRPr="00F7158D">
        <w:rPr>
          <w:rFonts w:eastAsia="Arial Unicode MS" w:cs="Liberation Serif"/>
          <w:color w:val="000000"/>
          <w:kern w:val="2"/>
          <w:szCs w:val="24"/>
          <w:lang w:eastAsia="zh-CN" w:bidi="hi-IN"/>
        </w:rPr>
        <w:t xml:space="preserve"> </w:t>
      </w:r>
      <w:r>
        <w:rPr>
          <w:rFonts w:eastAsia="Arial Unicode MS" w:cs="Liberation Serif"/>
          <w:color w:val="000000"/>
          <w:kern w:val="2"/>
          <w:szCs w:val="24"/>
          <w:lang w:eastAsia="zh-CN" w:bidi="hi-IN"/>
        </w:rPr>
        <w:t>αν και μικρότερος από άλλες χώρες της Β. Ευρώπης, τείνει αυξανόμενος, όταν στις άλλες χώρες μειώνεται. Σύμφωνα με την Ελληνική Εταιρεία Μελέτης της Υπέρτασης, τα ποσοστά διάγνωσης, ρύθμισης και θεραπείας της υπέρτασης στην Ελλάδα δε διαφέρουν από αυτά των αναπτυγμένων κρατών και δείχνουν πως μόλις το 25% των υπερτασικών υπό αγωγή είναι ρυθμισμένοι. Μεγάλο ποσοστό των υπερτασικών</w:t>
      </w:r>
      <w:r w:rsidR="00F7158D">
        <w:rPr>
          <w:rFonts w:eastAsia="Arial Unicode MS" w:cs="Liberation Serif"/>
          <w:color w:val="000000"/>
          <w:kern w:val="2"/>
          <w:szCs w:val="24"/>
          <w:lang w:eastAsia="zh-CN" w:bidi="hi-IN"/>
        </w:rPr>
        <w:t>,</w:t>
      </w:r>
      <w:r>
        <w:rPr>
          <w:rFonts w:eastAsia="Arial Unicode MS" w:cs="Liberation Serif"/>
          <w:color w:val="000000"/>
          <w:kern w:val="2"/>
          <w:szCs w:val="24"/>
          <w:lang w:eastAsia="zh-CN" w:bidi="hi-IN"/>
        </w:rPr>
        <w:t xml:space="preserve"> που φτάνει το 40% παραμένουν αδιάγνωστοι</w:t>
      </w:r>
      <w:r w:rsidR="00F7158D">
        <w:rPr>
          <w:rFonts w:eastAsia="Arial Unicode MS" w:cs="Liberation Serif"/>
          <w:color w:val="000000"/>
          <w:kern w:val="2"/>
          <w:szCs w:val="24"/>
          <w:lang w:eastAsia="zh-CN" w:bidi="hi-IN"/>
        </w:rPr>
        <w:t>,</w:t>
      </w:r>
      <w:r>
        <w:rPr>
          <w:rFonts w:eastAsia="Arial Unicode MS" w:cs="Liberation Serif"/>
          <w:color w:val="000000"/>
          <w:kern w:val="2"/>
          <w:szCs w:val="24"/>
          <w:lang w:eastAsia="zh-CN" w:bidi="hi-IN"/>
        </w:rPr>
        <w:t xml:space="preserve"> ενώ ένα 10% είναι διεγνωσμένο αλλά χωρίς αγωγή και ένα 25% παραμένει αρρύθμιστο παρά την αγωγή. </w:t>
      </w:r>
    </w:p>
    <w:p w:rsidR="001B3514" w:rsidRDefault="00782E3E">
      <w:pPr>
        <w:suppressAutoHyphens/>
        <w:spacing w:after="140"/>
      </w:pPr>
      <w:r>
        <w:rPr>
          <w:rFonts w:eastAsia="Arial Unicode MS" w:cs="Liberation Serif"/>
          <w:color w:val="000000"/>
          <w:kern w:val="2"/>
          <w:szCs w:val="24"/>
          <w:lang w:eastAsia="zh-CN" w:bidi="hi-IN"/>
        </w:rPr>
        <w:t xml:space="preserve">Η χρήση των μετρήσεων στο σπίτι είναι ευρύτατα διαδεδομένη και η ρύθμιση της πίεσης γίνεται κυρίως από παθολόγους και καρδιολόγους παρά από γενικούς γιατρούς. Φαίνεται ωστόσο, πως η συμπεριφορά των Ελλήνων σε θέματα πρόληψης των ασθενειών αλλά και η στάση τους απέναντι στο σύστημα υγείας είναι μάλλον αρνητική (DiMatteo et al.,  2011). Η γνώση των </w:t>
      </w:r>
      <w:r>
        <w:rPr>
          <w:rFonts w:eastAsia="Arial Unicode MS" w:cs="Liberation Serif"/>
          <w:color w:val="000000"/>
          <w:kern w:val="2"/>
          <w:szCs w:val="24"/>
          <w:lang w:eastAsia="zh-CN" w:bidi="hi-IN"/>
        </w:rPr>
        <w:lastRenderedPageBreak/>
        <w:t>ιδιαίτερων αυτών εθνικών χαρακτηριστικών είναι καθοριστική στην προσαρμογή των στρατηγικών αντιμετώπισης της υπέρτασης.</w:t>
      </w:r>
    </w:p>
    <w:p w:rsidR="001B3514" w:rsidRDefault="001B3514">
      <w:pPr>
        <w:suppressAutoHyphens/>
        <w:spacing w:after="140"/>
        <w:rPr>
          <w:rFonts w:eastAsia="Arial Unicode MS" w:cs="Arial Unicode MS"/>
          <w:kern w:val="2"/>
          <w:szCs w:val="24"/>
          <w:lang w:eastAsia="zh-CN" w:bidi="hi-IN"/>
        </w:rPr>
      </w:pPr>
    </w:p>
    <w:p w:rsidR="001B3514" w:rsidRDefault="00782E3E">
      <w:pPr>
        <w:pStyle w:val="2"/>
        <w:rPr>
          <w:lang w:bidi="hi-IN"/>
        </w:rPr>
      </w:pPr>
      <w:bookmarkStart w:id="32" w:name="_Toc64641766"/>
      <w:r>
        <w:t xml:space="preserve">3.4 </w:t>
      </w:r>
      <w:r>
        <w:rPr>
          <w:lang w:bidi="hi-IN"/>
        </w:rPr>
        <w:t>Αίτια</w:t>
      </w:r>
      <w:bookmarkEnd w:id="32"/>
    </w:p>
    <w:p w:rsidR="000C5A2E" w:rsidRPr="000C5A2E" w:rsidRDefault="000C5A2E" w:rsidP="000C5A2E">
      <w:pPr>
        <w:suppressAutoHyphens/>
        <w:spacing w:after="140"/>
        <w:rPr>
          <w:rFonts w:eastAsia="Arial Unicode MS" w:cs="Liberation Serif"/>
          <w:color w:val="000000"/>
          <w:kern w:val="2"/>
          <w:szCs w:val="24"/>
          <w:lang w:eastAsia="zh-CN" w:bidi="hi-IN"/>
        </w:rPr>
      </w:pPr>
      <w:r w:rsidRPr="000C5A2E">
        <w:rPr>
          <w:rFonts w:eastAsia="Arial Unicode MS" w:cs="Liberation Serif"/>
          <w:color w:val="000000"/>
          <w:kern w:val="2"/>
          <w:szCs w:val="24"/>
          <w:lang w:eastAsia="zh-CN" w:bidi="hi-IN"/>
        </w:rPr>
        <w:t>Η εμφάνιση μιας νόσου καθώς και η αντιμετώπισή της σχετίζονται με δύο μεγάλες κατηγορίες παραγόντων. Η πρώτη κατηγορία αφορά στο ίδιο το άτομο και η δεύτερη κατηγορία αφορά στο περιβάλλον του ασθενούς (DiMatteo &amp; Martin, 2011). Ο συνδυασμός αυτών των παραγόντων προσδιορίζει την τήρηση ή μη των ιατρικών οδηγιών, περισσότερο από τον κάθε παράγοντα ξεχωριστά, που φαίνεται να έχει μέτρια επίδραση στη συμπεριφορά αυτή (Καραδήμας, 2005).</w:t>
      </w:r>
    </w:p>
    <w:p w:rsidR="000C5A2E" w:rsidRPr="000C5A2E" w:rsidRDefault="000C5A2E" w:rsidP="000C5A2E">
      <w:pPr>
        <w:suppressAutoHyphens/>
        <w:spacing w:after="140"/>
        <w:rPr>
          <w:rFonts w:eastAsia="Arial Unicode MS" w:cs="Liberation Serif"/>
          <w:color w:val="000000"/>
          <w:kern w:val="2"/>
          <w:szCs w:val="24"/>
          <w:lang w:eastAsia="zh-CN" w:bidi="hi-IN"/>
        </w:rPr>
      </w:pPr>
      <w:r w:rsidRPr="000C5A2E">
        <w:rPr>
          <w:rFonts w:eastAsia="Arial Unicode MS" w:cs="Liberation Serif"/>
          <w:color w:val="000000"/>
          <w:kern w:val="2"/>
          <w:szCs w:val="24"/>
          <w:lang w:eastAsia="zh-CN" w:bidi="hi-IN"/>
        </w:rPr>
        <w:t>Όσον αφορά στην υπέρταση, η συμμόρφωση στη θεραπεία περιλαμβάνει αλλαγές στον τρόπο ζωής, που σχετίζονται με την απώλεια βάρους, τη διακοπή του καπνίσματος, την τακτική σωματική άσκηση, και τον περιορισμό στην κατανάλωση αλκοόλ και νατρίου. Πρόκειται, δηλαδή, για προληπτικές συμπεριφορές υγείας, προκειμένου να σταματήσει η εξέλιξη της νόσου. Η πρόληψη μπορεί να είναι είτε πρωτογενής, όταν ακόμα δεν υπάρχουν σαφείς ενδείξεις ύπαρξης της νόσου και τότε μιλάμε για προαγωγή υγείας και πρόληψη νοσημάτων, είτε δευτερογενής, προκειμένου να αποτραπούν περαιτέρω αρνητικές συνέπειες στον οργανισμό λόγω νόσου.</w:t>
      </w:r>
    </w:p>
    <w:p w:rsidR="000C5A2E" w:rsidRPr="000C5A2E" w:rsidRDefault="000C5A2E" w:rsidP="000C5A2E">
      <w:pPr>
        <w:suppressAutoHyphens/>
        <w:spacing w:after="140"/>
        <w:rPr>
          <w:rFonts w:eastAsia="Arial Unicode MS" w:cs="Liberation Serif"/>
          <w:color w:val="000000"/>
          <w:kern w:val="2"/>
          <w:szCs w:val="24"/>
          <w:lang w:eastAsia="zh-CN" w:bidi="hi-IN"/>
        </w:rPr>
      </w:pPr>
      <w:r w:rsidRPr="000C5A2E">
        <w:rPr>
          <w:rFonts w:eastAsia="Arial Unicode MS" w:cs="Liberation Serif"/>
          <w:color w:val="000000"/>
          <w:kern w:val="2"/>
          <w:szCs w:val="24"/>
          <w:lang w:eastAsia="zh-CN" w:bidi="hi-IN"/>
        </w:rPr>
        <w:t>Αν με την υιοθέτηση της σωστής συμπεριφοράς υγείας δεν ομαλοποιηθεί η πίεση του ασθενούς, προτείνεται η φαρμακευτική αντιμετώπισή της. Μακροχρόνια όμως είναι απαραίτητος ο συνδυασμός  υγιεινού τρόπου ζωής με την πιστή τήρηση της φαρμακευτικής αγωγής, με επίκεντρο πάντα τον ασθενή και στόχο τη διατήρηση της ποιότητας ζωής και την ομαλή επαναπροσαρμογή του στην κοινοτική ζωή  (τριτογενής πρόληψη) ( Παπαδάτου και συν., 2012).</w:t>
      </w:r>
    </w:p>
    <w:p w:rsidR="000C5A2E" w:rsidRPr="000C5A2E" w:rsidRDefault="000C5A2E" w:rsidP="000C5A2E">
      <w:pPr>
        <w:suppressAutoHyphens/>
        <w:spacing w:after="140"/>
        <w:rPr>
          <w:rFonts w:eastAsia="Arial Unicode MS" w:cs="Liberation Serif"/>
          <w:color w:val="000000"/>
          <w:kern w:val="2"/>
          <w:szCs w:val="24"/>
          <w:lang w:eastAsia="zh-CN" w:bidi="hi-IN"/>
        </w:rPr>
      </w:pPr>
      <w:r w:rsidRPr="000C5A2E">
        <w:rPr>
          <w:rFonts w:eastAsia="Arial Unicode MS" w:cs="Liberation Serif"/>
          <w:color w:val="000000"/>
          <w:kern w:val="2"/>
          <w:szCs w:val="24"/>
          <w:lang w:eastAsia="zh-CN" w:bidi="hi-IN"/>
        </w:rPr>
        <w:t xml:space="preserve">Έχει διαπιστωθεί ότι τη συμμόρφωση στην υπέρταση επηρεάζουν ατομικά χαρακτηριστικά, όπως η κληρονομικότητα, με ισχυρότερο να θεωρείται αυτό του φύλου. Οι  γυναίκες ακολουθούν ένα πιο υγιεινό διαιτολόγιο και περιορίζουν την κατανάλωση του αλκοόλ, ενώ οι άντρες κάνουν πιο έντονη και συστηματική  σωματική δραστηριότητα. Δημογραφικοί, ψυχολογικοί και γνωστικοί παράγοντες, όπως η ηλικία, η εκπαίδευση, η οικογενειακή κατάσταση, η εθνικότητα, η προσωπικότητα, οι αντιλήψεις σχετικά με τη σοβαρότητα της </w:t>
      </w:r>
      <w:r w:rsidRPr="000C5A2E">
        <w:rPr>
          <w:rFonts w:eastAsia="Arial Unicode MS" w:cs="Liberation Serif"/>
          <w:color w:val="000000"/>
          <w:kern w:val="2"/>
          <w:szCs w:val="24"/>
          <w:lang w:eastAsia="zh-CN" w:bidi="hi-IN"/>
        </w:rPr>
        <w:lastRenderedPageBreak/>
        <w:t>ασθένειας, οι πεποιθήσεις για την υγεία,  η κοινωνική επιρροή, η αίσθηση της ταυτότητας και η αυτοπεποίθηση, αποτελούν χαρακτηριστικά της προσωπικότητας που επιδρούν στη διάθεση των ασθενών και σχετίζονται με συμπεριφορές που διατηρούν ή προάγουν την υγεία τους (Dimatteo &amp; Martin, 2011 - Καραδήμας, 2005).</w:t>
      </w:r>
    </w:p>
    <w:p w:rsidR="000C5A2E" w:rsidRPr="000C5A2E" w:rsidRDefault="000C5A2E" w:rsidP="000C5A2E">
      <w:pPr>
        <w:suppressAutoHyphens/>
        <w:spacing w:after="140"/>
        <w:rPr>
          <w:rFonts w:eastAsia="Arial Unicode MS" w:cs="Liberation Serif"/>
          <w:color w:val="000000"/>
          <w:kern w:val="2"/>
          <w:szCs w:val="24"/>
          <w:lang w:eastAsia="zh-CN" w:bidi="hi-IN"/>
        </w:rPr>
      </w:pPr>
      <w:r w:rsidRPr="000C5A2E">
        <w:rPr>
          <w:rFonts w:eastAsia="Arial Unicode MS" w:cs="Liberation Serif"/>
          <w:color w:val="000000"/>
          <w:kern w:val="2"/>
          <w:szCs w:val="24"/>
          <w:lang w:eastAsia="zh-CN" w:bidi="hi-IN"/>
        </w:rPr>
        <w:t>Ψυχολογικά ζητήματα, όπως το άγχος, η κατάθλιψη ή κάποια σωματόμορφη διαταραχή, διαπιστώθηκαν στο 20% των ασθενών που έκαναν χρήση υπηρεσιών γενικής υγείας, στην έρευνα των  Fink, Hansen και Oxhoj,  στη Δανία το 2004 (Καραδήμας, 2005).</w:t>
      </w:r>
    </w:p>
    <w:p w:rsidR="001B3514" w:rsidRDefault="000C5A2E" w:rsidP="000C5A2E">
      <w:pPr>
        <w:suppressAutoHyphens/>
        <w:spacing w:after="140"/>
        <w:rPr>
          <w:rFonts w:eastAsia="Arial Unicode MS" w:cs="Liberation Serif"/>
          <w:color w:val="000000"/>
          <w:kern w:val="2"/>
          <w:szCs w:val="24"/>
          <w:lang w:eastAsia="zh-CN" w:bidi="hi-IN"/>
        </w:rPr>
      </w:pPr>
      <w:r w:rsidRPr="000C5A2E">
        <w:rPr>
          <w:rFonts w:eastAsia="Arial Unicode MS" w:cs="Liberation Serif"/>
          <w:color w:val="000000"/>
          <w:kern w:val="2"/>
          <w:szCs w:val="24"/>
          <w:lang w:eastAsia="zh-CN" w:bidi="hi-IN"/>
        </w:rPr>
        <w:t>Υπάρχουν, λοιπόν, υπερτασικοί ασθενείς που δεν αντιμετωπίζουν τη νόσο ως μια χρόνια ασθένεια. Μάλιστα, δεν τη θεωρούν καν ως σημαντική νόσο, την αρνούνται και αμελούν την αγωγή τους, ιδιαίτερα στο στάδιο της ανεπίπλεκτης νόσου. Χρησιμοποιούν χυμό λεμονιού ή τσάι για να ρίξουν την πίεση και ακολουθούν τις συμβουλές των φίλων τους παρά του ιατρού τους. Θα εκδηλώσουν ωστόσο κάποια ανησυχία για την πιθανότητα επανεμφάνισης επιπλοκών. Οι διατροφικοί περιορισμοί και άλλα προβλήματα, όπως στέρηση ύπνου, εφιάλτες και στυτική δυσλειτουργία προκαλούν άγχος και μπορεί να επηρεάσουν αρνητικά τις οικογενειακές σχέσεις. Αν επηρεαστούν και τα επαγγελματικά και περιοριστεί το εισόδημα, το αίσθημα ανεπάρκειας είναι εντονότερο. Καίρια θέση στη φαρμακευτική συμμόρφωση λαμβάνει  η κοινωνική υποστήριξη, καθώς συντελεί  στην καλύτερη προσαρμογή στην ασθένεια μέσω της αποτελεσματικής διαχείρισης του στρες και των διαταραχών της νόσου, ενώ παράλληλα έχει  σημαντικά οφέλη και στην μετέπειτα πορεία της (Ποντσίδης &amp; Μπελλάλη, 2015).</w:t>
      </w:r>
    </w:p>
    <w:p w:rsidR="000C5A2E" w:rsidRDefault="000C5A2E" w:rsidP="000C5A2E">
      <w:pPr>
        <w:suppressAutoHyphens/>
        <w:spacing w:after="140"/>
        <w:rPr>
          <w:rFonts w:eastAsia="Arial Unicode MS" w:cs="Liberation Serif"/>
          <w:color w:val="000000"/>
          <w:kern w:val="2"/>
          <w:szCs w:val="24"/>
          <w:lang w:eastAsia="zh-CN" w:bidi="hi-IN"/>
        </w:rPr>
      </w:pPr>
    </w:p>
    <w:p w:rsidR="000C5A2E" w:rsidRDefault="000C5A2E" w:rsidP="000C5A2E">
      <w:pPr>
        <w:suppressAutoHyphens/>
        <w:spacing w:after="140"/>
        <w:rPr>
          <w:rFonts w:eastAsia="Arial Unicode MS" w:cs="Liberation Serif"/>
          <w:color w:val="000000"/>
          <w:kern w:val="2"/>
          <w:szCs w:val="24"/>
          <w:lang w:eastAsia="zh-CN" w:bidi="hi-IN"/>
        </w:rPr>
      </w:pPr>
    </w:p>
    <w:p w:rsidR="000C5A2E" w:rsidRDefault="000C5A2E" w:rsidP="000C5A2E">
      <w:pPr>
        <w:suppressAutoHyphens/>
        <w:spacing w:after="140"/>
        <w:rPr>
          <w:rFonts w:eastAsia="Arial Unicode MS" w:cs="Liberation Serif"/>
          <w:color w:val="000000"/>
          <w:kern w:val="2"/>
          <w:szCs w:val="24"/>
          <w:lang w:eastAsia="zh-CN" w:bidi="hi-IN"/>
        </w:rPr>
      </w:pPr>
    </w:p>
    <w:p w:rsidR="000C5A2E" w:rsidRDefault="000C5A2E" w:rsidP="000C5A2E">
      <w:pPr>
        <w:suppressAutoHyphens/>
        <w:spacing w:after="140"/>
        <w:rPr>
          <w:rFonts w:eastAsia="Arial Unicode MS" w:cs="Liberation Serif"/>
          <w:color w:val="000000"/>
          <w:kern w:val="2"/>
          <w:szCs w:val="24"/>
          <w:lang w:eastAsia="zh-CN" w:bidi="hi-IN"/>
        </w:rPr>
      </w:pPr>
    </w:p>
    <w:p w:rsidR="000C5A2E" w:rsidRDefault="000C5A2E" w:rsidP="000C5A2E">
      <w:pPr>
        <w:suppressAutoHyphens/>
        <w:spacing w:after="140"/>
        <w:rPr>
          <w:rFonts w:eastAsia="Arial Unicode MS" w:cs="Liberation Serif"/>
          <w:color w:val="000000"/>
          <w:kern w:val="2"/>
          <w:szCs w:val="24"/>
          <w:lang w:eastAsia="zh-CN" w:bidi="hi-IN"/>
        </w:rPr>
      </w:pPr>
    </w:p>
    <w:p w:rsidR="000C5A2E" w:rsidRDefault="000C5A2E" w:rsidP="000C5A2E">
      <w:pPr>
        <w:suppressAutoHyphens/>
        <w:spacing w:after="140"/>
        <w:rPr>
          <w:rFonts w:eastAsia="Arial Unicode MS" w:cs="Liberation Serif"/>
          <w:color w:val="000000"/>
          <w:kern w:val="2"/>
          <w:szCs w:val="24"/>
          <w:lang w:eastAsia="zh-CN" w:bidi="hi-IN"/>
        </w:rPr>
      </w:pPr>
    </w:p>
    <w:p w:rsidR="000C5A2E" w:rsidRDefault="000C5A2E" w:rsidP="000C5A2E">
      <w:pPr>
        <w:suppressAutoHyphens/>
        <w:spacing w:after="140"/>
        <w:rPr>
          <w:rFonts w:eastAsia="Arial Unicode MS" w:cs="Liberation Serif"/>
          <w:color w:val="000000"/>
          <w:kern w:val="2"/>
          <w:szCs w:val="24"/>
          <w:lang w:eastAsia="zh-CN" w:bidi="hi-IN"/>
        </w:rPr>
      </w:pPr>
    </w:p>
    <w:p w:rsidR="000C5A2E" w:rsidRDefault="000C5A2E" w:rsidP="000C5A2E">
      <w:pPr>
        <w:suppressAutoHyphens/>
        <w:spacing w:after="140"/>
        <w:rPr>
          <w:rFonts w:eastAsia="Arial Unicode MS" w:cs="Liberation Serif"/>
          <w:color w:val="000000"/>
          <w:kern w:val="2"/>
          <w:szCs w:val="24"/>
          <w:lang w:eastAsia="zh-CN" w:bidi="hi-IN"/>
        </w:rPr>
      </w:pPr>
    </w:p>
    <w:p w:rsidR="000C5A2E" w:rsidRDefault="000C5A2E" w:rsidP="000C5A2E">
      <w:pPr>
        <w:suppressAutoHyphens/>
        <w:spacing w:after="140"/>
        <w:rPr>
          <w:rFonts w:eastAsia="Arial Unicode MS" w:cs="Liberation Serif"/>
          <w:color w:val="000000"/>
          <w:kern w:val="2"/>
          <w:szCs w:val="24"/>
          <w:lang w:eastAsia="zh-CN" w:bidi="hi-IN"/>
        </w:rPr>
      </w:pPr>
    </w:p>
    <w:p w:rsidR="000C5A2E" w:rsidRDefault="000C5A2E" w:rsidP="000C5A2E">
      <w:pPr>
        <w:suppressAutoHyphens/>
        <w:spacing w:after="140"/>
        <w:rPr>
          <w:rFonts w:eastAsia="Arial Unicode MS" w:cs="Liberation Serif"/>
          <w:color w:val="000000"/>
          <w:kern w:val="2"/>
          <w:szCs w:val="24"/>
          <w:lang w:eastAsia="zh-CN" w:bidi="hi-IN"/>
        </w:rPr>
      </w:pPr>
    </w:p>
    <w:p w:rsidR="000C5A2E" w:rsidRDefault="000C5A2E" w:rsidP="000C5A2E">
      <w:pPr>
        <w:suppressAutoHyphens/>
        <w:spacing w:after="140"/>
        <w:rPr>
          <w:rFonts w:eastAsia="Arial Unicode MS" w:cs="Liberation Serif"/>
          <w:color w:val="000000"/>
          <w:kern w:val="2"/>
          <w:szCs w:val="24"/>
          <w:lang w:eastAsia="zh-CN" w:bidi="hi-IN"/>
        </w:rPr>
      </w:pPr>
    </w:p>
    <w:p w:rsidR="000C5A2E" w:rsidRDefault="000C5A2E" w:rsidP="000C5A2E">
      <w:pPr>
        <w:suppressAutoHyphens/>
        <w:spacing w:after="140"/>
        <w:rPr>
          <w:rFonts w:eastAsia="Arial Unicode MS" w:cs="Liberation Serif"/>
          <w:color w:val="000000"/>
          <w:kern w:val="2"/>
          <w:szCs w:val="24"/>
          <w:lang w:eastAsia="zh-CN" w:bidi="hi-IN"/>
        </w:rPr>
      </w:pPr>
    </w:p>
    <w:p w:rsidR="000C5A2E" w:rsidRDefault="000C5A2E" w:rsidP="000C5A2E">
      <w:pPr>
        <w:suppressAutoHyphens/>
        <w:spacing w:after="140"/>
        <w:rPr>
          <w:rFonts w:eastAsia="Arial Unicode MS" w:cs="Liberation Serif"/>
          <w:color w:val="000000"/>
          <w:kern w:val="2"/>
          <w:szCs w:val="24"/>
          <w:lang w:eastAsia="zh-CN" w:bidi="hi-IN"/>
        </w:rPr>
      </w:pPr>
    </w:p>
    <w:p w:rsidR="000C5A2E" w:rsidRDefault="000C5A2E" w:rsidP="000C5A2E">
      <w:pPr>
        <w:suppressAutoHyphens/>
        <w:spacing w:after="140"/>
        <w:rPr>
          <w:rFonts w:eastAsia="Arial Unicode MS" w:cs="Arial Unicode MS"/>
          <w:kern w:val="2"/>
          <w:szCs w:val="24"/>
          <w:lang w:eastAsia="zh-CN" w:bidi="hi-IN"/>
        </w:rPr>
      </w:pPr>
    </w:p>
    <w:p w:rsidR="001B3514" w:rsidRDefault="00782E3E">
      <w:pPr>
        <w:pStyle w:val="1"/>
        <w:rPr>
          <w:rFonts w:cs="Arial Unicode MS"/>
          <w:lang w:eastAsia="zh-CN" w:bidi="hi-IN"/>
        </w:rPr>
      </w:pPr>
      <w:bookmarkStart w:id="33" w:name="_Toc64641767"/>
      <w:r>
        <w:rPr>
          <w:lang w:eastAsia="zh-CN" w:bidi="hi-IN"/>
        </w:rPr>
        <w:t>4. Η επικοινωνία ως μέσω ικανοποίησης των ασθενών και η συμβολή της στη συμμόρφωση στην θεραπεία</w:t>
      </w:r>
      <w:bookmarkEnd w:id="33"/>
    </w:p>
    <w:p w:rsidR="001B3514" w:rsidRDefault="00782E3E">
      <w:pPr>
        <w:suppressAutoHyphens/>
        <w:spacing w:after="140"/>
        <w:rPr>
          <w:rFonts w:eastAsia="Arial Unicode MS" w:cs="Arial Unicode MS"/>
          <w:kern w:val="2"/>
          <w:szCs w:val="24"/>
          <w:lang w:eastAsia="zh-CN" w:bidi="hi-IN"/>
        </w:rPr>
      </w:pPr>
      <w:r>
        <w:rPr>
          <w:rFonts w:eastAsia="Arial Unicode MS" w:cs="Liberation Serif"/>
          <w:color w:val="000000"/>
          <w:kern w:val="2"/>
          <w:szCs w:val="24"/>
          <w:lang w:eastAsia="zh-CN" w:bidi="hi-IN"/>
        </w:rPr>
        <w:t xml:space="preserve">Στη σύγχρονη ιατρική, ο όρος </w:t>
      </w:r>
      <w:r>
        <w:rPr>
          <w:rFonts w:eastAsia="Arial Unicode MS" w:cs="Liberation Serif"/>
          <w:i/>
          <w:iCs/>
          <w:color w:val="000000"/>
          <w:kern w:val="2"/>
          <w:szCs w:val="24"/>
          <w:lang w:eastAsia="zh-CN" w:bidi="hi-IN"/>
        </w:rPr>
        <w:t>ικανοποίηση των ασθενών</w:t>
      </w:r>
      <w:r>
        <w:rPr>
          <w:rFonts w:eastAsia="Arial Unicode MS" w:cs="Liberation Serif"/>
          <w:color w:val="000000"/>
          <w:kern w:val="2"/>
          <w:szCs w:val="24"/>
          <w:lang w:eastAsia="zh-CN" w:bidi="hi-IN"/>
        </w:rPr>
        <w:t xml:space="preserve"> αφορά ¨</w:t>
      </w:r>
      <w:r>
        <w:rPr>
          <w:rFonts w:eastAsia="Arial Unicode MS" w:cs="Liberation Serif"/>
          <w:i/>
          <w:iCs/>
          <w:color w:val="000000"/>
          <w:kern w:val="2"/>
          <w:szCs w:val="24"/>
          <w:lang w:eastAsia="zh-CN" w:bidi="hi-IN"/>
        </w:rPr>
        <w:t>στο βαθμό που οι χρήστες των υπηρεσιών υγείας δηλώνουν ευχαριστημένοι από την αλληλεπίδρασή τους με το προσωπικό υγείας, από τη θεραπεία που λαμβάνουν και από τις παροχές του συστήματος υγείας¨</w:t>
      </w:r>
      <w:r>
        <w:rPr>
          <w:rFonts w:eastAsia="Arial Unicode MS" w:cs="Liberation Serif"/>
          <w:color w:val="000000"/>
          <w:kern w:val="2"/>
          <w:szCs w:val="24"/>
          <w:lang w:eastAsia="zh-CN" w:bidi="hi-IN"/>
        </w:rPr>
        <w:t>(Καραδήμας, 2005).Σημαντικό ρόλο για την επίτευξή της έχει το είδος της επικοινωνίας που αναπτύσσεται ανάμεσα στον γιατρό ή σε ένα μέλος του προσωπικού υγείας και στον ασθενή .</w:t>
      </w:r>
    </w:p>
    <w:p w:rsidR="001B3514" w:rsidRDefault="00782E3E">
      <w:pPr>
        <w:suppressAutoHyphens/>
        <w:spacing w:after="140"/>
        <w:rPr>
          <w:rFonts w:eastAsia="Arial Unicode MS" w:cs="Arial Unicode MS"/>
          <w:kern w:val="2"/>
          <w:szCs w:val="24"/>
          <w:lang w:eastAsia="zh-CN" w:bidi="hi-IN"/>
        </w:rPr>
      </w:pPr>
      <w:r>
        <w:rPr>
          <w:rFonts w:eastAsia="Arial Unicode MS" w:cs="Liberation Serif"/>
          <w:color w:val="000000"/>
          <w:kern w:val="2"/>
          <w:szCs w:val="24"/>
          <w:lang w:eastAsia="zh-CN" w:bidi="hi-IN"/>
        </w:rPr>
        <w:t>Δυσκολίες στην παροχή ποιοτικής και ποσοτικής πληροφόρησης από την πλευρά του προσωπικού υγείας</w:t>
      </w:r>
      <w:r w:rsidR="00F7158D">
        <w:rPr>
          <w:rFonts w:eastAsia="Arial Unicode MS" w:cs="Liberation Serif"/>
          <w:color w:val="000000"/>
          <w:kern w:val="2"/>
          <w:szCs w:val="24"/>
          <w:lang w:eastAsia="zh-CN" w:bidi="hi-IN"/>
        </w:rPr>
        <w:t>,</w:t>
      </w:r>
      <w:r>
        <w:rPr>
          <w:rFonts w:eastAsia="Arial Unicode MS" w:cs="Liberation Serif"/>
          <w:color w:val="000000"/>
          <w:kern w:val="2"/>
          <w:szCs w:val="24"/>
          <w:lang w:eastAsia="zh-CN" w:bidi="hi-IN"/>
        </w:rPr>
        <w:t xml:space="preserve"> αλλά και διαφορετικός  βαθμός  ενδιαφέροντος και κατανόησης των ιατρικών οδηγιών,</w:t>
      </w:r>
      <w:r>
        <w:rPr>
          <w:rFonts w:eastAsia="Arial Unicode MS" w:cs="Times New Roman"/>
          <w:color w:val="000000"/>
          <w:kern w:val="2"/>
          <w:szCs w:val="24"/>
          <w:lang w:eastAsia="zh-CN" w:bidi="hi-IN"/>
        </w:rPr>
        <w:t xml:space="preserve"> </w:t>
      </w:r>
      <w:r>
        <w:rPr>
          <w:rFonts w:eastAsia="Arial Unicode MS" w:cs="Liberation Serif"/>
          <w:color w:val="000000"/>
          <w:kern w:val="2"/>
          <w:szCs w:val="24"/>
          <w:lang w:eastAsia="zh-CN" w:bidi="hi-IN"/>
        </w:rPr>
        <w:t>σχετίζονται ως ένα βαθμό με την ικανοποίησης των ασθενών. Οι φραγμοί στην επικοινωνία του προσωπικού υγείας με τους ασθενείς φαίνεται πως σχετίζονται με χαρακτηριστικά κοινωνικά και προσωπικά καθώς και με  ατομικές τους ανάγκες (Καραδήμας, 2005).</w:t>
      </w:r>
    </w:p>
    <w:p w:rsidR="001B3514" w:rsidRDefault="00782E3E">
      <w:pPr>
        <w:suppressAutoHyphens/>
        <w:spacing w:after="140"/>
        <w:rPr>
          <w:rFonts w:eastAsia="Arial Unicode MS" w:cs="Arial Unicode MS"/>
          <w:kern w:val="2"/>
          <w:szCs w:val="24"/>
          <w:lang w:eastAsia="zh-CN" w:bidi="hi-IN"/>
        </w:rPr>
      </w:pPr>
      <w:r>
        <w:rPr>
          <w:rFonts w:eastAsia="Arial Unicode MS" w:cs="Liberation Serif"/>
          <w:color w:val="000000"/>
          <w:kern w:val="2"/>
          <w:szCs w:val="24"/>
          <w:lang w:eastAsia="zh-CN" w:bidi="hi-IN"/>
        </w:rPr>
        <w:t>Διακρίνονται δύο βασικά μοντέλα επικοινωνίας ιατρού- ασθενούς: α) το ασθενοκεντρικό μοντέλο</w:t>
      </w:r>
      <w:r w:rsidR="00F7158D">
        <w:rPr>
          <w:rFonts w:eastAsia="Arial Unicode MS" w:cs="Liberation Serif"/>
          <w:color w:val="000000"/>
          <w:kern w:val="2"/>
          <w:szCs w:val="24"/>
          <w:lang w:eastAsia="zh-CN" w:bidi="hi-IN"/>
        </w:rPr>
        <w:t>,</w:t>
      </w:r>
      <w:r>
        <w:rPr>
          <w:rFonts w:eastAsia="Arial Unicode MS" w:cs="Liberation Serif"/>
          <w:color w:val="000000"/>
          <w:kern w:val="2"/>
          <w:szCs w:val="24"/>
          <w:lang w:eastAsia="zh-CN" w:bidi="hi-IN"/>
        </w:rPr>
        <w:t xml:space="preserve"> όπου αξιοποιούνται οι γνώσεις και η εμπειρία του ασθενούς και κυριαρχούν η προσεκτική ακρόαση, η αντανάκλαση των συναισθημάτων και η ενθάρρυνση για ανάληψη ευθυνών και από τους ασθενείς κ. α. και β) το ιατροκεντικό μοντέλο</w:t>
      </w:r>
      <w:r w:rsidR="00F7158D">
        <w:rPr>
          <w:rFonts w:eastAsia="Arial Unicode MS" w:cs="Liberation Serif"/>
          <w:color w:val="000000"/>
          <w:kern w:val="2"/>
          <w:szCs w:val="24"/>
          <w:lang w:eastAsia="zh-CN" w:bidi="hi-IN"/>
        </w:rPr>
        <w:t>,</w:t>
      </w:r>
      <w:r>
        <w:rPr>
          <w:rFonts w:eastAsia="Arial Unicode MS" w:cs="Liberation Serif"/>
          <w:color w:val="000000"/>
          <w:kern w:val="2"/>
          <w:szCs w:val="24"/>
          <w:lang w:eastAsia="zh-CN" w:bidi="hi-IN"/>
        </w:rPr>
        <w:t xml:space="preserve"> που αξιοποιεί κυρίως τις ικανότητες (γνωστικές</w:t>
      </w:r>
      <w:r w:rsidR="00F7158D">
        <w:rPr>
          <w:rFonts w:eastAsia="Arial Unicode MS" w:cs="Liberation Serif"/>
          <w:color w:val="000000"/>
          <w:kern w:val="2"/>
          <w:szCs w:val="24"/>
          <w:lang w:eastAsia="zh-CN" w:bidi="hi-IN"/>
        </w:rPr>
        <w:t>,</w:t>
      </w:r>
      <w:r>
        <w:rPr>
          <w:rFonts w:eastAsia="Arial Unicode MS" w:cs="Liberation Serif"/>
          <w:color w:val="000000"/>
          <w:kern w:val="2"/>
          <w:szCs w:val="24"/>
          <w:lang w:eastAsia="zh-CN" w:bidi="hi-IN"/>
        </w:rPr>
        <w:t xml:space="preserve"> ιατρική γλώσσα κ. α.) του ιατρού ( Καραδήμας, 2005).</w:t>
      </w:r>
    </w:p>
    <w:p w:rsidR="001B3514" w:rsidRDefault="00782E3E">
      <w:pPr>
        <w:suppressAutoHyphens/>
        <w:spacing w:after="140"/>
        <w:rPr>
          <w:rFonts w:eastAsia="Arial Unicode MS" w:cs="Arial Unicode MS"/>
          <w:kern w:val="2"/>
          <w:szCs w:val="24"/>
          <w:lang w:eastAsia="zh-CN" w:bidi="hi-IN"/>
        </w:rPr>
      </w:pPr>
      <w:r>
        <w:rPr>
          <w:rFonts w:eastAsia="Arial Unicode MS" w:cs="Liberation Serif"/>
          <w:color w:val="000000"/>
          <w:kern w:val="2"/>
          <w:szCs w:val="24"/>
          <w:lang w:eastAsia="zh-CN" w:bidi="hi-IN"/>
        </w:rPr>
        <w:t xml:space="preserve">Από τη βιβλιογραφική ανασκόπηση φαίνεται πως η ανθρωποκεντρική προσέγγιση  βελτιώνει περισσότερο την ικανοποίηση των ασθενών, ιδιαίτερα όταν συνυπάρχει με την κινητοποίηση </w:t>
      </w:r>
      <w:r>
        <w:rPr>
          <w:rFonts w:eastAsia="Arial Unicode MS" w:cs="Liberation Serif"/>
          <w:color w:val="000000"/>
          <w:kern w:val="2"/>
          <w:szCs w:val="24"/>
          <w:lang w:eastAsia="zh-CN" w:bidi="hi-IN"/>
        </w:rPr>
        <w:lastRenderedPageBreak/>
        <w:t>των   ασθενών για την απόκτηση ελέγχου της νόσου τους, καθώς δείχνει να  σχετίζεται με πιο σταθερό τρόπο με καλά αποτελέσματα υγείας (Καραδήμας, 2005).Κάθε φορά ωστόσο, η αλληλεπίδραση μεταξύ του προσωπικού υγείας και ασθενούς εξαρτάται από τις επιθυμίες του ασθενή, το πώς αυτές γίνονται αντιληπτές από το προσωπικό υγείας αλλά και από τις δυνατότητες που έχουν κάθε φορά οι δύο πλευρές (Καραδήμας, 2005).</w:t>
      </w:r>
    </w:p>
    <w:p w:rsidR="001B3514" w:rsidRDefault="00782E3E">
      <w:pPr>
        <w:suppressAutoHyphens/>
        <w:spacing w:after="140"/>
      </w:pPr>
      <w:r>
        <w:rPr>
          <w:rFonts w:eastAsia="Arial Unicode MS" w:cs="Liberation Serif"/>
          <w:color w:val="000000"/>
          <w:kern w:val="2"/>
          <w:szCs w:val="24"/>
          <w:lang w:eastAsia="zh-CN" w:bidi="hi-IN"/>
        </w:rPr>
        <w:t>Ο βαθμός της ενσυναίσθησης που επιδεικνύει κάθε φορά ο γιατρός αναφορικά με τη συναισθηματική κατάσταση του ασθενούς συντελεί στην τήρηση των θεραπευτικών οδηγιών. Συγκεκριμένα,  ασθενείς που έχουν τη δυνατότητα να εκφράσουν τις συναισθηματικές ανάγκες και ευαισθησίες τους, αισθάνονται πιο σίγουροι πως ο γιατρός ενδιαφέρεται γι’ αυτούς και πιστεύουν πως αυτός  θα ενεργήσει με γνώμονα το συμφέρον τους</w:t>
      </w:r>
      <w:r w:rsidR="00F7158D">
        <w:rPr>
          <w:rFonts w:eastAsia="Arial Unicode MS" w:cs="Liberation Serif"/>
          <w:color w:val="000000"/>
          <w:kern w:val="2"/>
          <w:szCs w:val="24"/>
          <w:lang w:eastAsia="zh-CN" w:bidi="hi-IN"/>
        </w:rPr>
        <w:t>,</w:t>
      </w:r>
      <w:r>
        <w:rPr>
          <w:rFonts w:eastAsia="Arial Unicode MS" w:cs="Liberation Serif"/>
          <w:color w:val="000000"/>
          <w:kern w:val="2"/>
          <w:szCs w:val="24"/>
          <w:lang w:eastAsia="zh-CN" w:bidi="hi-IN"/>
        </w:rPr>
        <w:t xml:space="preserve"> ενώ και οι ίδιοι νιώθουν πως συμμετέχουν στις αποφάσεις που λαμβάνονται για τη φροντίδα τους (DiMatteo et al.,  2011). Μελέτες έχουν δείξει πως οι ασθενείς που δεν είναι ικανοποιημένοι  από τη διαπροσωπική διάσταση της φροντίδας βγαίνουν ¨προς άγραν ¨ ιατρού, έως ότου συναντήσουν έναν επαγγελματία που να αισθάνονται πως ενδιαφέρεται πραγματικά (Di Matteo et al.,  2011).</w:t>
      </w:r>
    </w:p>
    <w:p w:rsidR="001B3514" w:rsidRDefault="00782E3E">
      <w:pPr>
        <w:suppressAutoHyphens/>
        <w:spacing w:after="140"/>
        <w:rPr>
          <w:rFonts w:eastAsia="Arial Unicode MS" w:cs="Arial Unicode MS"/>
          <w:kern w:val="2"/>
          <w:szCs w:val="24"/>
          <w:lang w:eastAsia="zh-CN" w:bidi="hi-IN"/>
        </w:rPr>
      </w:pPr>
      <w:r>
        <w:rPr>
          <w:rFonts w:eastAsia="Arial Unicode MS" w:cs="Liberation Serif"/>
          <w:color w:val="000000"/>
          <w:kern w:val="2"/>
          <w:szCs w:val="24"/>
          <w:lang w:eastAsia="zh-CN" w:bidi="hi-IN"/>
        </w:rPr>
        <w:t xml:space="preserve">Η ικανοποίηση από την λαμβάνουσα θεραπευτική αγωγή κατέχει πρωταρχική θέση στη συμμόρφωση των ασθενών. Έχει  φανεί από μελέτες πως σε ασθενείς με ανθεκτική υπέρταση υπό βέλτιστη θεραπευτική αγωγή και χωρίς την επίδραση της λευκής μπλούζας, η έλλειψη επαρκούς υπενθύμισης,  η μεγάλη χρονική διάρκεια της φαρμακευτικής αγωγής, το κόστος και η πολυπλοκότητα της θεραπείας καθώς και οι συνέπειες της θεραπείας ή  οι ανεπιθύμητες ενέργειες των  φαρμάκων, δρουν αποθαρρυντικά και επηρεάζουν τη συμμόρφωσή τους.( Αναγνωστόπουλος, 2012; Kichou, Henine, Kichou, Said, Benbouabdellah, Hacheroyf, Mazeghrane, 2018). </w:t>
      </w:r>
    </w:p>
    <w:p w:rsidR="001B3514" w:rsidRDefault="00782E3E">
      <w:pPr>
        <w:suppressAutoHyphens/>
        <w:spacing w:after="140"/>
        <w:rPr>
          <w:rFonts w:eastAsia="Arial Unicode MS" w:cs="Liberation Serif"/>
          <w:color w:val="000000"/>
          <w:kern w:val="2"/>
          <w:szCs w:val="24"/>
          <w:lang w:eastAsia="zh-CN" w:bidi="hi-IN"/>
        </w:rPr>
      </w:pPr>
      <w:r>
        <w:rPr>
          <w:rFonts w:eastAsia="Arial Unicode MS" w:cs="Liberation Serif"/>
          <w:color w:val="000000"/>
          <w:kern w:val="2"/>
          <w:szCs w:val="24"/>
          <w:lang w:eastAsia="zh-CN" w:bidi="hi-IN"/>
        </w:rPr>
        <w:t xml:space="preserve">Ειδικότερα, οι ανεπιθύμητες ενέργειες των αντιυπερτασικών φαρμάκων, έχουν αρνητικές συνέπειες ειδικά στους ασθενείς που δεν έχουν σοβαρά συμπτώματα από την νόσο. Στον αντίποδα, η επιτυχής φαρμακευτική αντιμετώπιση της νόσου συνοδεύεται από θετικά αποτελέσματα λόγω του αισθήματος ελέγχου της ασθένειας που επιφέρει και προκαλεί ικανοποίηση για την υγεία. </w:t>
      </w:r>
    </w:p>
    <w:p w:rsidR="001B3514" w:rsidRDefault="00782E3E">
      <w:pPr>
        <w:spacing w:line="259" w:lineRule="auto"/>
        <w:jc w:val="left"/>
        <w:rPr>
          <w:rFonts w:eastAsia="Arial Unicode MS" w:cs="Liberation Serif"/>
          <w:color w:val="000000"/>
          <w:kern w:val="2"/>
          <w:szCs w:val="24"/>
          <w:lang w:eastAsia="zh-CN" w:bidi="hi-IN"/>
        </w:rPr>
      </w:pPr>
      <w:r>
        <w:br w:type="page"/>
      </w:r>
    </w:p>
    <w:p w:rsidR="001B3514" w:rsidRDefault="00782E3E">
      <w:pPr>
        <w:pStyle w:val="1"/>
        <w:rPr>
          <w:lang w:eastAsia="zh-CN" w:bidi="hi-IN"/>
        </w:rPr>
      </w:pPr>
      <w:bookmarkStart w:id="34" w:name="_Toc64641768"/>
      <w:r>
        <w:rPr>
          <w:lang w:eastAsia="zh-CN" w:bidi="hi-IN"/>
        </w:rPr>
        <w:lastRenderedPageBreak/>
        <w:t>5. Μεθοδολογία</w:t>
      </w:r>
      <w:bookmarkEnd w:id="34"/>
    </w:p>
    <w:p w:rsidR="001B3514" w:rsidRDefault="00782E3E">
      <w:pPr>
        <w:pStyle w:val="2"/>
        <w:rPr>
          <w:lang w:eastAsia="zh-CN" w:bidi="hi-IN"/>
        </w:rPr>
      </w:pPr>
      <w:bookmarkStart w:id="35" w:name="_Toc64641769"/>
      <w:r>
        <w:rPr>
          <w:lang w:eastAsia="zh-CN" w:bidi="hi-IN"/>
        </w:rPr>
        <w:t>5.1 Σκοπός και ερευνητικά ερωτήματα</w:t>
      </w:r>
      <w:bookmarkEnd w:id="35"/>
    </w:p>
    <w:p w:rsidR="001B3514" w:rsidRDefault="00782E3E">
      <w:pPr>
        <w:rPr>
          <w:lang w:eastAsia="zh-CN" w:bidi="hi-IN"/>
        </w:rPr>
      </w:pPr>
      <w:r>
        <w:rPr>
          <w:lang w:eastAsia="zh-CN" w:bidi="hi-IN"/>
        </w:rPr>
        <w:t>Η παρούσα έρευνα έχει στόχο τη διερεύνηση του ψυχολογικού προφίλ των ασθενών με υπέρταση και η διασαφήνιση του ρόλου που διαδραματίζουν οι κοινωνικοί και δημογραφικοί παράγοντες στη συμμόρφωση των ασθενών στη θεραπεία.</w:t>
      </w:r>
    </w:p>
    <w:p w:rsidR="001B3514" w:rsidRDefault="00782E3E">
      <w:pPr>
        <w:rPr>
          <w:lang w:eastAsia="zh-CN" w:bidi="hi-IN"/>
        </w:rPr>
      </w:pPr>
      <w:r>
        <w:rPr>
          <w:lang w:eastAsia="zh-CN" w:bidi="hi-IN"/>
        </w:rPr>
        <w:t>Για την επίτευξη του παραπάνω στόχου τέθηκαν τα ακόλουθα ερευνητικά ερωτήματα:</w:t>
      </w:r>
    </w:p>
    <w:p w:rsidR="001B3514" w:rsidRDefault="00782E3E">
      <w:pPr>
        <w:pStyle w:val="ae"/>
        <w:numPr>
          <w:ilvl w:val="0"/>
          <w:numId w:val="1"/>
        </w:numPr>
        <w:rPr>
          <w:lang w:eastAsia="zh-CN" w:bidi="hi-IN"/>
        </w:rPr>
      </w:pPr>
      <w:r>
        <w:rPr>
          <w:lang w:eastAsia="zh-CN" w:bidi="hi-IN"/>
        </w:rPr>
        <w:t>Ποιος ο ρόλος των χαρακτηριστικών της προσωπικότητας των ασθενών με υπέρταση στη συμμόρφωσή τους στη θεραπεία;</w:t>
      </w:r>
    </w:p>
    <w:p w:rsidR="001B3514" w:rsidRDefault="00782E3E">
      <w:pPr>
        <w:pStyle w:val="ae"/>
        <w:numPr>
          <w:ilvl w:val="0"/>
          <w:numId w:val="1"/>
        </w:numPr>
        <w:rPr>
          <w:lang w:eastAsia="zh-CN" w:bidi="hi-IN"/>
        </w:rPr>
      </w:pPr>
      <w:r>
        <w:rPr>
          <w:lang w:eastAsia="zh-CN" w:bidi="hi-IN"/>
        </w:rPr>
        <w:t>Πως τα χαρακτηριστικά της ψυχοπαθολογίας των ασθενών επηρεάζονται από τους κοινωνικοδημογραφικούς παράγοντες;</w:t>
      </w:r>
    </w:p>
    <w:p w:rsidR="001B3514" w:rsidRDefault="00782E3E">
      <w:pPr>
        <w:pStyle w:val="ae"/>
        <w:numPr>
          <w:ilvl w:val="0"/>
          <w:numId w:val="1"/>
        </w:numPr>
        <w:rPr>
          <w:lang w:eastAsia="zh-CN" w:bidi="hi-IN"/>
        </w:rPr>
      </w:pPr>
      <w:r>
        <w:rPr>
          <w:lang w:eastAsia="zh-CN" w:bidi="hi-IN"/>
        </w:rPr>
        <w:t>Πως η άποψη των ασθενών για τη λήψη φαρμάκων σχετίζεται με τη συμμόρφωσή τους στη θεραπεία;</w:t>
      </w:r>
    </w:p>
    <w:p w:rsidR="001B3514" w:rsidRDefault="001B3514">
      <w:pPr>
        <w:rPr>
          <w:lang w:eastAsia="zh-CN" w:bidi="hi-IN"/>
        </w:rPr>
      </w:pPr>
    </w:p>
    <w:p w:rsidR="001B3514" w:rsidRDefault="00782E3E">
      <w:pPr>
        <w:pStyle w:val="2"/>
        <w:rPr>
          <w:lang w:eastAsia="zh-CN" w:bidi="hi-IN"/>
        </w:rPr>
      </w:pPr>
      <w:bookmarkStart w:id="36" w:name="_Toc64641770"/>
      <w:r>
        <w:rPr>
          <w:lang w:eastAsia="zh-CN" w:bidi="hi-IN"/>
        </w:rPr>
        <w:t>5.2 Διαδικασία έρευνας και Δείγμα</w:t>
      </w:r>
      <w:bookmarkEnd w:id="36"/>
    </w:p>
    <w:p w:rsidR="001B3514" w:rsidRDefault="00782E3E">
      <w:pPr>
        <w:rPr>
          <w:lang w:eastAsia="zh-CN" w:bidi="hi-IN"/>
        </w:rPr>
      </w:pPr>
      <w:r>
        <w:rPr>
          <w:lang w:eastAsia="zh-CN" w:bidi="hi-IN"/>
        </w:rPr>
        <w:t>Η παρούσα διπλωματική εργασία πραγματοποιήθηκε στο πλαίσιο του Μεταπτυχιακού Προγράμματος «Διαχείριση Γήρανσης και Χρόνιων Νοσημάτων» κατά την ακαδημαϊκή χρονική περίοδο 2020-2021. Το δείγμα της έρευνας αποτέλεσαν 100 ασθενείς που αντιμετωπίζουν το πρόβλημα της υπέρτασης. Η συλλογή των δεδομένων έγινε με τη χρήση του ερωτηματολογίου, ως ερευνητικού εργαλείου της μελέτης. Συνολικά μοιράστηκαν από τον ερευνητή 150 ερωτηματολόγια σε ασθενείς με υπέρταση, αφού προηγουμένως είχε ενημερώσει τους υπεύθυνους για τη διεξαγωγή της μελέτης. Παράλληλα, πριν τη συμμετοχή τους στη μελέτη ο ερευνητής ενημέρωσε κάθε ασθενή για το σκοπό πραγματοποίησης της έρευνας, διασφαλίζοντας την ανωνυμία των απαντήσεων του και βεβαιώνοντας τον πως οι απαντήσεις του θα χρησιμοποιούν αυστηρά και μόνο για τη συγκεκριμένη μελέτη.</w:t>
      </w:r>
    </w:p>
    <w:p w:rsidR="001B3514" w:rsidRDefault="001B3514">
      <w:pPr>
        <w:rPr>
          <w:lang w:eastAsia="zh-CN" w:bidi="hi-IN"/>
        </w:rPr>
      </w:pPr>
    </w:p>
    <w:p w:rsidR="001B3514" w:rsidRDefault="00782E3E">
      <w:pPr>
        <w:pStyle w:val="2"/>
        <w:rPr>
          <w:lang w:eastAsia="zh-CN" w:bidi="hi-IN"/>
        </w:rPr>
      </w:pPr>
      <w:bookmarkStart w:id="37" w:name="_Toc64641771"/>
      <w:r>
        <w:rPr>
          <w:lang w:eastAsia="zh-CN" w:bidi="hi-IN"/>
        </w:rPr>
        <w:lastRenderedPageBreak/>
        <w:t>5.3 Ερευνητικό εργαλείο</w:t>
      </w:r>
      <w:bookmarkEnd w:id="37"/>
    </w:p>
    <w:p w:rsidR="001B3514" w:rsidRDefault="00782E3E">
      <w:pPr>
        <w:rPr>
          <w:lang w:eastAsia="zh-CN" w:bidi="hi-IN"/>
        </w:rPr>
      </w:pPr>
      <w:r>
        <w:rPr>
          <w:lang w:eastAsia="zh-CN" w:bidi="hi-IN"/>
        </w:rPr>
        <w:t>Το ερευνητικό εργαλείο που χρησιμοποιήθηκε στο πλαίσιο της παρούσας έρευνας ήταν το ερωτηματολόγιο. Ο ερευνητής συγκεκριμένα προκειμένου να απαντήσει επαρκώς στα ερευνητικά ερωτήματα δημιούργησε ένα ερευνητικό εργαλείο που αποτελείται από τις εξής ακόλουθες ενότητες:</w:t>
      </w:r>
    </w:p>
    <w:p w:rsidR="001B3514" w:rsidRDefault="00782E3E">
      <w:pPr>
        <w:rPr>
          <w:b/>
          <w:bCs/>
          <w:i/>
          <w:iCs/>
          <w:lang w:eastAsia="zh-CN" w:bidi="hi-IN"/>
        </w:rPr>
      </w:pPr>
      <w:r>
        <w:rPr>
          <w:b/>
          <w:bCs/>
          <w:i/>
          <w:iCs/>
          <w:lang w:eastAsia="zh-CN" w:bidi="hi-IN"/>
        </w:rPr>
        <w:t>Ερωτηματολόγιο Κοινωνικοδημογραφικών χαρακτηριστικών</w:t>
      </w:r>
    </w:p>
    <w:p w:rsidR="001B3514" w:rsidRDefault="00782E3E">
      <w:pPr>
        <w:rPr>
          <w:lang w:eastAsia="zh-CN" w:bidi="hi-IN"/>
        </w:rPr>
      </w:pPr>
      <w:r>
        <w:rPr>
          <w:lang w:eastAsia="zh-CN" w:bidi="hi-IN"/>
        </w:rPr>
        <w:t>Στην πρώτη ενότητα του ερωτηματολογίου περιλαμβάνονται ερωτήσεις που σχετίζονται με τα κοινωνικοδημογραφικά χαρακτηριστικά του δείγματος όπως είναι για παράδειγμα το φύλο, η ηλικία, το επάγγελμα και η εκπαίδευση του δείγματος, χαρακτηριστικά που συνθέτουν το προφίλ των συμμετεχόντων του δείγματος.</w:t>
      </w:r>
    </w:p>
    <w:p w:rsidR="001B3514" w:rsidRDefault="001B3514">
      <w:pPr>
        <w:rPr>
          <w:lang w:eastAsia="zh-CN" w:bidi="hi-IN"/>
        </w:rPr>
      </w:pPr>
    </w:p>
    <w:p w:rsidR="001B3514" w:rsidRDefault="00782E3E">
      <w:pPr>
        <w:rPr>
          <w:b/>
          <w:bCs/>
          <w:i/>
          <w:iCs/>
        </w:rPr>
      </w:pPr>
      <w:r>
        <w:rPr>
          <w:b/>
          <w:bCs/>
          <w:i/>
          <w:iCs/>
        </w:rPr>
        <w:t>Κλίμακα τήρησης φαρμακευτικής αγωγής Morisky (MMAS-8)</w:t>
      </w:r>
    </w:p>
    <w:p w:rsidR="001B3514" w:rsidRDefault="00782E3E">
      <w:r>
        <w:t xml:space="preserve">Η κλίμακα αυτή αποτελεί εξέλιξη μιας παλαιότερης κλίμακας που χρησιμοποιούνταν για τον έλεγχο του επιπέδου συμμόρφωσης των ασθενών στη φαρμακευτική αγωγή. Με στόχο την αποφυγή λαθών εξαιτίας της τάση των ασθενών να δίνουν σε όλες τις ερωτήσεις θετικές απαντήσεις, ορισμένες ερωτήσεις διατυπώνονται αντίστροφα. Οι πρώτες 7 ερωτήσεις της κλίμακας απαντώνται με ναι και όχι ενώ η τελευταία απαντάται στην 5 βάθμια κλίμακα </w:t>
      </w:r>
      <w:r>
        <w:rPr>
          <w:lang w:val="en-US"/>
        </w:rPr>
        <w:t>Likert</w:t>
      </w:r>
      <w:r>
        <w:t xml:space="preserve"> </w:t>
      </w:r>
    </w:p>
    <w:p w:rsidR="001B3514" w:rsidRDefault="00782E3E">
      <w:r>
        <w:t>Για κάθε απάντηση από τις ερωτήσεις 1 έως 7, το “όχι” βαθμολογείται με 1 βαθμό και το “ναι” με 0 βαθμό, εκτός από την ερώτηση 5 για την οποία το “όχι” βαθμολογείται με 0 βαθμό και το “ναι” με 1 βαθμό. Όσον αφορά την ερώτηση</w:t>
      </w:r>
      <w:r w:rsidR="00F7158D">
        <w:t>,</w:t>
      </w:r>
      <w:r>
        <w:t xml:space="preserve"> η απάντηση “Σχεδόν ποτέ” βαθμολογείται με 1 βαθμό, ενώ η απάντηση “Σχεδόν πάντα” βαθμολογείται με 0 βαθμό. Επιπλέον η απάντηση “Σπάνια” βαθμολογείται με 0,75 βαθμό, η απάντηση “Μερικές φορές” βαθμολογείται με 0,5 βαθμό και η απάντηση “Συχνά” βαθμολογείται με 0,25 βαθμό. Επομένως προκύπτει ένα συνολικό σκορ το οποίο κυμαίνεται από 0 έως 8 (Βουτσινά, 2016). Για σκορ &lt; 6, η συμμόρφωση χαρακτηρίζεται χαμηλή. Για σκορ από 6 έως &lt; 8, η συμμόρφωση χαρακτηρίζεται μέτρια. Για σκορ ίσο με 8, η συμμόρφωση χαρακτηρίζεται υψηλή. Οι ερωτήσεις του ερωτηματολογίου σχετίζονται με τον βαθμό συμμόρφωσης του ασθενούς στην φαρμακευτική </w:t>
      </w:r>
      <w:r>
        <w:lastRenderedPageBreak/>
        <w:t xml:space="preserve">αγωγή που του έχει χορηγηθεί από τον θεράποντα ιατρό του και διερευνούν τη συνέπεια των ασθενών στη λήψη φαρμάκων. </w:t>
      </w:r>
    </w:p>
    <w:p w:rsidR="001B3514" w:rsidRDefault="00782E3E">
      <w:pPr>
        <w:rPr>
          <w:highlight w:val="yellow"/>
        </w:rPr>
      </w:pPr>
      <w:r>
        <w:t>Η προσαρμογή στα ελληνικά έγινε το 2011 από την Παπανικολάου με τη σύμφωνη γνώμη του δημιουργού της. Η μελέτη των Plakas et al. 2016</w:t>
      </w:r>
      <w:r w:rsidR="00F7158D">
        <w:t>,</w:t>
      </w:r>
      <w:r>
        <w:t xml:space="preserve"> για τη διερεύνηση των ψυχομετρικών ιδιοτήτων της κλίμακας - σε πάσχοντες από χρόνιες παθήσεις στην αγροτική Ελλάδα, αποδεικνύεται η αξιοπιστία και εγκυρότητα της ελληνικής εκδοχής της κλίμακας αυτής.</w:t>
      </w:r>
    </w:p>
    <w:p w:rsidR="001B3514" w:rsidRDefault="001B3514">
      <w:pPr>
        <w:rPr>
          <w:lang w:eastAsia="zh-CN" w:bidi="hi-IN"/>
        </w:rPr>
      </w:pPr>
    </w:p>
    <w:p w:rsidR="001B3514" w:rsidRDefault="00782E3E">
      <w:pPr>
        <w:rPr>
          <w:b/>
          <w:bCs/>
          <w:i/>
          <w:iCs/>
          <w:lang w:eastAsia="zh-CN" w:bidi="hi-IN"/>
        </w:rPr>
      </w:pPr>
      <w:r>
        <w:rPr>
          <w:b/>
          <w:bCs/>
          <w:i/>
          <w:iCs/>
          <w:lang w:eastAsia="zh-CN" w:bidi="hi-IN"/>
        </w:rPr>
        <w:t>Κλίμακα Ψυχοπαθολογίας (SCL-90)</w:t>
      </w:r>
    </w:p>
    <w:p w:rsidR="001B3514" w:rsidRDefault="00782E3E">
      <w:pPr>
        <w:rPr>
          <w:lang w:eastAsia="zh-CN" w:bidi="hi-IN"/>
        </w:rPr>
      </w:pPr>
      <w:r>
        <w:rPr>
          <w:lang w:eastAsia="zh-CN" w:bidi="hi-IN"/>
        </w:rPr>
        <w:t>Η κλίμακα αυτή δημιουργήθηκε το 1977 από τον Derogatis και μέχρι σήμερα αποτελεί ένα από τα πιο αξιόπιστα και έγκυρα εργαλεία μέτρησης της ψυχοπαθολογίας του πληθυσμού. Αποτελείται συνολικά από 90 ερωτήσεις οι οποίες ομαδοποιούνται σε 9 υποκλίμακες οι οποίες εκφράζουν τις ψυχικές, συναισθηματικές και σωματικές αιτιάσεις της ψυχοπαθολογίας. Οι υποκλίμακες αυτές περιλαμβάνουν συμπεριλαμβάνουν τη σωματοποίηση, τον ιδεοψυχαναγκασμό, τη διαπροσωπική ευαισθησία, την κατάθλιψη, την επιθετικότητα, το φοβικό άγχος, τον παρανοειδή ιδεασμό, τον ψυχωτισμό και διάφορες αιτιάσεις (π.χ.. διαταραχές ύπνου, πρόσληψης τροφής, κ.α.). Για την αξιολόγηση των απαντήσεων χρησιμοποιείται μια πεντάβαθμη κλίμακα τύπου Likert (0-1-2-3-4). Επιπλέον, προκύπτουν επιπλέον 3 συνολικοί δείκτες, οι οποίοι αφορούν το γενικό δείκτη συμπτωμάτων, το σύνολο των θετικών συμπτωμάτων και το δείκτη ενόχλησης των θετικών συμπτωμάτων αντίστοιχα. Η μετάφραση και προσαρμογή της συγκεκριμένης κλίμακας στον ελληνικό πληθυσμό οδήγησε στη δημιουργία ενός εξαιρετικά έγκυρου εργαλείου που συνέβαλε στη μελέτη των κοινωνικών φαινομένων και των ψυχομετρικών χαρακτηριστικών του πληθυσμού.</w:t>
      </w:r>
    </w:p>
    <w:p w:rsidR="001B3514" w:rsidRDefault="001B3514">
      <w:pPr>
        <w:rPr>
          <w:lang w:eastAsia="zh-CN" w:bidi="hi-IN"/>
        </w:rPr>
      </w:pPr>
    </w:p>
    <w:p w:rsidR="001B3514" w:rsidRDefault="00782E3E">
      <w:pPr>
        <w:rPr>
          <w:b/>
          <w:bCs/>
          <w:i/>
          <w:iCs/>
          <w:lang w:val="en-US" w:eastAsia="zh-CN" w:bidi="hi-IN"/>
        </w:rPr>
      </w:pPr>
      <w:r>
        <w:rPr>
          <w:b/>
          <w:bCs/>
          <w:i/>
          <w:iCs/>
          <w:lang w:eastAsia="zh-CN" w:bidi="hi-IN"/>
        </w:rPr>
        <w:t>Απόψεις</w:t>
      </w:r>
      <w:r>
        <w:rPr>
          <w:b/>
          <w:bCs/>
          <w:i/>
          <w:iCs/>
          <w:lang w:val="en-US" w:eastAsia="zh-CN" w:bidi="hi-IN"/>
        </w:rPr>
        <w:t xml:space="preserve"> </w:t>
      </w:r>
      <w:r>
        <w:rPr>
          <w:b/>
          <w:bCs/>
          <w:i/>
          <w:iCs/>
          <w:lang w:eastAsia="zh-CN" w:bidi="hi-IN"/>
        </w:rPr>
        <w:t>για</w:t>
      </w:r>
      <w:r>
        <w:rPr>
          <w:b/>
          <w:bCs/>
          <w:i/>
          <w:iCs/>
          <w:lang w:val="en-US" w:eastAsia="zh-CN" w:bidi="hi-IN"/>
        </w:rPr>
        <w:t xml:space="preserve"> </w:t>
      </w:r>
      <w:r>
        <w:rPr>
          <w:b/>
          <w:bCs/>
          <w:i/>
          <w:iCs/>
          <w:lang w:eastAsia="zh-CN" w:bidi="hi-IN"/>
        </w:rPr>
        <w:t>τη</w:t>
      </w:r>
      <w:r>
        <w:rPr>
          <w:b/>
          <w:bCs/>
          <w:i/>
          <w:iCs/>
          <w:lang w:val="en-US" w:eastAsia="zh-CN" w:bidi="hi-IN"/>
        </w:rPr>
        <w:t xml:space="preserve"> </w:t>
      </w:r>
      <w:r>
        <w:rPr>
          <w:b/>
          <w:bCs/>
          <w:i/>
          <w:iCs/>
          <w:lang w:eastAsia="zh-CN" w:bidi="hi-IN"/>
        </w:rPr>
        <w:t>λήψη</w:t>
      </w:r>
      <w:r>
        <w:rPr>
          <w:b/>
          <w:bCs/>
          <w:i/>
          <w:iCs/>
          <w:lang w:val="en-US" w:eastAsia="zh-CN" w:bidi="hi-IN"/>
        </w:rPr>
        <w:t xml:space="preserve"> </w:t>
      </w:r>
      <w:r>
        <w:rPr>
          <w:b/>
          <w:bCs/>
          <w:i/>
          <w:iCs/>
          <w:lang w:eastAsia="zh-CN" w:bidi="hi-IN"/>
        </w:rPr>
        <w:t>φαρμάκων</w:t>
      </w:r>
      <w:r>
        <w:rPr>
          <w:b/>
          <w:bCs/>
          <w:i/>
          <w:iCs/>
          <w:lang w:val="en-US" w:eastAsia="zh-CN" w:bidi="hi-IN"/>
        </w:rPr>
        <w:t xml:space="preserve"> BMQ (Beliefs about Medicines Questionnaire)</w:t>
      </w:r>
    </w:p>
    <w:p w:rsidR="001B3514" w:rsidRDefault="00782E3E">
      <w:pPr>
        <w:rPr>
          <w:lang w:eastAsia="zh-CN" w:bidi="hi-IN"/>
        </w:rPr>
      </w:pPr>
      <w:r>
        <w:rPr>
          <w:lang w:eastAsia="zh-CN" w:bidi="hi-IN"/>
        </w:rPr>
        <w:t xml:space="preserve">Η πρώτη δημοσίευση του ερωτηματολογίου αυτού πραγματοποιήθηκε το 1996 από τους ερευνητές Horne, Weinman, Hankins στο επιστημονικό περιοδικό “Psychology &amp; Health”. Από τότε μέχρι και σήμερα το ερωτηματολόγιο αυτό χρησιμοποιείται σε πολλές έρευνες σε όλο τον </w:t>
      </w:r>
      <w:r>
        <w:rPr>
          <w:lang w:eastAsia="zh-CN" w:bidi="hi-IN"/>
        </w:rPr>
        <w:lastRenderedPageBreak/>
        <w:t xml:space="preserve">κόσμο διερευνώντας τις αντιλήψεις σχετικά με τη λήψη φαρμακευτικής αγωγής. Το ερωτηματολόγιο αυτό διακρίνεται σε δύο μέρη: το BMQSpecific που αξιολογεί τις αντιλήψεις ασθενών για φάρμακα που συνταγογραφούνται για προσωπική χρήση και το BMQ-General που αξιολογεί τις πεποιθήσεις σχετικά με τα φάρμακα γενικά. Το περιεχόμενο των ερωτήσεων αφορά χρόνια νοσήματα και δομείται σε 18 ερωτήσεις που αντιπροσωπεύουν 4 παραμέτρους (Αναγκαιότητα, Ανησυχία, Κατάχρηση, Βλάβη) (Horne, Weinman, &amp; Hankins, 1999). </w:t>
      </w:r>
    </w:p>
    <w:p w:rsidR="001B3514" w:rsidRDefault="001B3514">
      <w:pPr>
        <w:rPr>
          <w:lang w:eastAsia="zh-CN" w:bidi="hi-IN"/>
        </w:rPr>
      </w:pPr>
    </w:p>
    <w:p w:rsidR="001B3514" w:rsidRDefault="00782E3E">
      <w:pPr>
        <w:rPr>
          <w:b/>
          <w:bCs/>
          <w:i/>
          <w:iCs/>
          <w:lang w:eastAsia="zh-CN" w:bidi="hi-IN"/>
        </w:rPr>
      </w:pPr>
      <w:r>
        <w:rPr>
          <w:b/>
          <w:bCs/>
          <w:i/>
          <w:iCs/>
          <w:lang w:eastAsia="zh-CN" w:bidi="hi-IN"/>
        </w:rPr>
        <w:t>Το ερωτηματολόγιο προσωπικότητας Eysenck (EPQ; Eysenck &amp; Eysenck, 1975)</w:t>
      </w:r>
    </w:p>
    <w:p w:rsidR="001B3514" w:rsidRDefault="00782E3E">
      <w:pPr>
        <w:rPr>
          <w:lang w:eastAsia="zh-CN" w:bidi="hi-IN"/>
        </w:rPr>
      </w:pPr>
      <w:r>
        <w:rPr>
          <w:lang w:eastAsia="zh-CN" w:bidi="hi-IN"/>
        </w:rPr>
        <w:t>Αυτό είναι ένα ερωτηματολόγιο 84 στοιχείων που βασίζεται στο θεωρητικό μοντέλο που προτείνει ο Eysenck (1975). Το EPQ μετρά τρεις βασικές διαστάσεις προσωπικότητας: Ψυχωτισμός (P),</w:t>
      </w:r>
    </w:p>
    <w:p w:rsidR="001B3514" w:rsidRDefault="00782E3E">
      <w:pPr>
        <w:rPr>
          <w:lang w:eastAsia="zh-CN" w:bidi="hi-IN"/>
        </w:rPr>
      </w:pPr>
      <w:r>
        <w:rPr>
          <w:lang w:eastAsia="zh-CN" w:bidi="hi-IN"/>
        </w:rPr>
        <w:t>Εξωστρέφεια (Ε) και Νευροτισμός (Ν), ενώ υπολογίζει ένα ψέμα ή μια κοινωνικά επιθυμητή απόκριση (L). Έχει προσαρμοστεί στα Ελληνικά από τον Δημητρίου (1986).</w:t>
      </w:r>
    </w:p>
    <w:p w:rsidR="001B3514" w:rsidRDefault="001B3514">
      <w:pPr>
        <w:rPr>
          <w:lang w:eastAsia="zh-CN" w:bidi="hi-IN"/>
        </w:rPr>
      </w:pPr>
    </w:p>
    <w:p w:rsidR="001B3514" w:rsidRDefault="00782E3E">
      <w:pPr>
        <w:pStyle w:val="2"/>
        <w:rPr>
          <w:lang w:eastAsia="zh-CN" w:bidi="hi-IN"/>
        </w:rPr>
      </w:pPr>
      <w:bookmarkStart w:id="38" w:name="_Toc64641772"/>
      <w:r>
        <w:rPr>
          <w:lang w:eastAsia="zh-CN" w:bidi="hi-IN"/>
        </w:rPr>
        <w:t>5.4 Στατιστική ανάλυση</w:t>
      </w:r>
      <w:bookmarkEnd w:id="38"/>
    </w:p>
    <w:p w:rsidR="001B3514" w:rsidRDefault="00782E3E">
      <w:pPr>
        <w:rPr>
          <w:lang w:eastAsia="zh-CN" w:bidi="hi-IN"/>
        </w:rPr>
      </w:pPr>
      <w:r>
        <w:rPr>
          <w:lang w:eastAsia="zh-CN" w:bidi="hi-IN"/>
        </w:rPr>
        <w:t xml:space="preserve">Η ανάλυση των δεδομένων της έρευνας πραγματοποιήθηκε με τη χρήση του στατιστικού πακέτου SPSS.25. Πιο αναλυτικά, η ανάλυση χωρίστηκε σε δύο μέρη, εκ των οποίων το πρώτος μέρος περιελάβανε τη περιγραφική στατιστική, όπου με τη χρήση ποσοστών και των μέτρων θέσης και διασποράς ο ερευνητής παρουσίασε το δείγμα στο οποίο βασίστηκε η μελέτη που διεξήγαγε. Επιπλέον, ελέγχθηκε η αξιοπιστία σε κάθε κλίμακα που χρησιμοποιήθηκε στην έρευνα μέσω του δείκτη Cronbach’s Alpha, σύμφωνα με τους αντίστοιχους οδηγούς για το κάθε ερωτηματολόγιο. Έπειτα πραγματοποιήθηκαν οι κατάλληλοι επαγωγικοί έλεγχοι </w:t>
      </w:r>
      <w:r>
        <w:rPr>
          <w:lang w:val="en-US" w:eastAsia="zh-CN" w:bidi="hi-IN"/>
        </w:rPr>
        <w:t>t</w:t>
      </w:r>
      <w:r>
        <w:rPr>
          <w:lang w:eastAsia="zh-CN" w:bidi="hi-IN"/>
        </w:rPr>
        <w:t>-</w:t>
      </w:r>
      <w:r>
        <w:rPr>
          <w:lang w:val="en-US" w:eastAsia="zh-CN" w:bidi="hi-IN"/>
        </w:rPr>
        <w:t>test</w:t>
      </w:r>
      <w:r>
        <w:rPr>
          <w:lang w:eastAsia="zh-CN" w:bidi="hi-IN"/>
        </w:rPr>
        <w:t xml:space="preserve">, </w:t>
      </w:r>
      <w:r>
        <w:rPr>
          <w:lang w:val="en-US" w:eastAsia="zh-CN" w:bidi="hi-IN"/>
        </w:rPr>
        <w:t>ANOVA</w:t>
      </w:r>
      <w:r>
        <w:rPr>
          <w:lang w:eastAsia="zh-CN" w:bidi="hi-IN"/>
        </w:rPr>
        <w:t xml:space="preserve"> και ο έλεγχος συσχέτισης </w:t>
      </w:r>
      <w:r>
        <w:rPr>
          <w:lang w:val="en-US" w:eastAsia="zh-CN" w:bidi="hi-IN"/>
        </w:rPr>
        <w:t>Pearson</w:t>
      </w:r>
      <w:r>
        <w:rPr>
          <w:lang w:eastAsia="zh-CN" w:bidi="hi-IN"/>
        </w:rPr>
        <w:t xml:space="preserve">. </w:t>
      </w:r>
    </w:p>
    <w:p w:rsidR="001B3514" w:rsidRDefault="00782E3E">
      <w:pPr>
        <w:spacing w:line="259" w:lineRule="auto"/>
        <w:jc w:val="left"/>
        <w:rPr>
          <w:rFonts w:eastAsiaTheme="majorEastAsia" w:cstheme="majorBidi"/>
          <w:b/>
          <w:sz w:val="28"/>
          <w:szCs w:val="26"/>
          <w:lang w:eastAsia="zh-CN" w:bidi="hi-IN"/>
        </w:rPr>
      </w:pPr>
      <w:r>
        <w:br w:type="page"/>
      </w:r>
    </w:p>
    <w:p w:rsidR="001B3514" w:rsidRDefault="00782E3E">
      <w:pPr>
        <w:pStyle w:val="1"/>
        <w:rPr>
          <w:lang w:eastAsia="zh-CN" w:bidi="hi-IN"/>
        </w:rPr>
      </w:pPr>
      <w:bookmarkStart w:id="39" w:name="_Toc64641773"/>
      <w:r>
        <w:rPr>
          <w:lang w:eastAsia="zh-CN" w:bidi="hi-IN"/>
        </w:rPr>
        <w:lastRenderedPageBreak/>
        <w:t>6. Αποτελέσματα</w:t>
      </w:r>
      <w:bookmarkEnd w:id="39"/>
      <w:r>
        <w:rPr>
          <w:lang w:eastAsia="zh-CN" w:bidi="hi-IN"/>
        </w:rPr>
        <w:t xml:space="preserve"> </w:t>
      </w:r>
    </w:p>
    <w:p w:rsidR="001B3514" w:rsidRDefault="00782E3E">
      <w:pPr>
        <w:pStyle w:val="2"/>
        <w:rPr>
          <w:lang w:eastAsia="zh-CN" w:bidi="hi-IN"/>
        </w:rPr>
      </w:pPr>
      <w:bookmarkStart w:id="40" w:name="_Toc64641774"/>
      <w:r>
        <w:rPr>
          <w:lang w:eastAsia="zh-CN" w:bidi="hi-IN"/>
        </w:rPr>
        <w:t>6.1 Περιγραφική ανάλυση</w:t>
      </w:r>
      <w:bookmarkEnd w:id="40"/>
    </w:p>
    <w:p w:rsidR="001B3514" w:rsidRDefault="00782E3E">
      <w:pPr>
        <w:rPr>
          <w:lang w:eastAsia="zh-CN" w:bidi="hi-IN"/>
        </w:rPr>
      </w:pPr>
      <w:r>
        <w:rPr>
          <w:lang w:eastAsia="zh-CN" w:bidi="hi-IN"/>
        </w:rPr>
        <w:t>Από τη συλλογή και επεξεργασία των δεδομένων της έρευνας ο ερευνητής οδηγήθηκε στην εξαγωγή σημαντικών συμπερασμάτων αναφορικά με το κοινωνικό και δημογραφικό προφίλ του δείγματος.</w:t>
      </w:r>
    </w:p>
    <w:p w:rsidR="001B3514" w:rsidRDefault="00782E3E">
      <w:pPr>
        <w:pStyle w:val="aa"/>
        <w:keepNext/>
      </w:pPr>
      <w:bookmarkStart w:id="41" w:name="_Toc64641810"/>
      <w:r>
        <w:t xml:space="preserve">Πίνακας </w:t>
      </w:r>
      <w:r w:rsidR="00B061D7">
        <w:fldChar w:fldCharType="begin"/>
      </w:r>
      <w:r>
        <w:instrText>SEQ Πίνακας \* ARABIC</w:instrText>
      </w:r>
      <w:r w:rsidR="00B061D7">
        <w:fldChar w:fldCharType="separate"/>
      </w:r>
      <w:r w:rsidR="001D06AA">
        <w:rPr>
          <w:noProof/>
        </w:rPr>
        <w:t>3</w:t>
      </w:r>
      <w:r w:rsidR="00B061D7">
        <w:fldChar w:fldCharType="end"/>
      </w:r>
      <w:r>
        <w:t xml:space="preserve"> Κατανομή του φύλου της οικογενειακής και επαγγελματικής κατάστασης του δείγματος</w:t>
      </w:r>
      <w:bookmarkEnd w:id="41"/>
    </w:p>
    <w:tbl>
      <w:tblPr>
        <w:tblW w:w="6045" w:type="dxa"/>
        <w:jc w:val="center"/>
        <w:tblBorders>
          <w:top w:val="single" w:sz="4" w:space="0" w:color="000001"/>
          <w:bottom w:val="single" w:sz="4" w:space="0" w:color="000001"/>
          <w:insideH w:val="single" w:sz="4" w:space="0" w:color="000001"/>
        </w:tblBorders>
        <w:tblLook w:val="04A0"/>
      </w:tblPr>
      <w:tblGrid>
        <w:gridCol w:w="1902"/>
        <w:gridCol w:w="2362"/>
        <w:gridCol w:w="825"/>
        <w:gridCol w:w="956"/>
      </w:tblGrid>
      <w:tr w:rsidR="001B3514">
        <w:trPr>
          <w:trHeight w:val="287"/>
          <w:jc w:val="center"/>
        </w:trPr>
        <w:tc>
          <w:tcPr>
            <w:tcW w:w="4175" w:type="dxa"/>
            <w:gridSpan w:val="2"/>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w:t>
            </w:r>
          </w:p>
        </w:tc>
        <w:tc>
          <w:tcPr>
            <w:tcW w:w="93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w:t>
            </w:r>
          </w:p>
        </w:tc>
        <w:tc>
          <w:tcPr>
            <w:tcW w:w="93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xml:space="preserve"> %</w:t>
            </w:r>
          </w:p>
        </w:tc>
      </w:tr>
      <w:tr w:rsidR="001B3514">
        <w:trPr>
          <w:trHeight w:val="287"/>
          <w:jc w:val="center"/>
        </w:trPr>
        <w:tc>
          <w:tcPr>
            <w:tcW w:w="1992"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Φύλο</w:t>
            </w:r>
          </w:p>
        </w:tc>
        <w:tc>
          <w:tcPr>
            <w:tcW w:w="218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Άντρας</w:t>
            </w:r>
          </w:p>
        </w:tc>
        <w:tc>
          <w:tcPr>
            <w:tcW w:w="93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43</w:t>
            </w:r>
          </w:p>
        </w:tc>
        <w:tc>
          <w:tcPr>
            <w:tcW w:w="93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43.0%</w:t>
            </w:r>
          </w:p>
        </w:tc>
      </w:tr>
      <w:tr w:rsidR="001B3514">
        <w:trPr>
          <w:trHeight w:val="287"/>
          <w:jc w:val="center"/>
        </w:trPr>
        <w:tc>
          <w:tcPr>
            <w:tcW w:w="1992"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218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Γυναίκα</w:t>
            </w:r>
          </w:p>
        </w:tc>
        <w:tc>
          <w:tcPr>
            <w:tcW w:w="93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57</w:t>
            </w:r>
          </w:p>
        </w:tc>
        <w:tc>
          <w:tcPr>
            <w:tcW w:w="93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57.0%</w:t>
            </w:r>
          </w:p>
        </w:tc>
      </w:tr>
      <w:tr w:rsidR="001B3514">
        <w:trPr>
          <w:trHeight w:val="287"/>
          <w:jc w:val="center"/>
        </w:trPr>
        <w:tc>
          <w:tcPr>
            <w:tcW w:w="1992"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 </w:t>
            </w:r>
          </w:p>
        </w:tc>
        <w:tc>
          <w:tcPr>
            <w:tcW w:w="2183"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Σύνολο</w:t>
            </w:r>
          </w:p>
        </w:tc>
        <w:tc>
          <w:tcPr>
            <w:tcW w:w="936"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100</w:t>
            </w:r>
          </w:p>
        </w:tc>
        <w:tc>
          <w:tcPr>
            <w:tcW w:w="933"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100.0%</w:t>
            </w:r>
          </w:p>
        </w:tc>
      </w:tr>
      <w:tr w:rsidR="001B3514">
        <w:trPr>
          <w:trHeight w:val="287"/>
          <w:jc w:val="center"/>
        </w:trPr>
        <w:tc>
          <w:tcPr>
            <w:tcW w:w="1992"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Οικογενειακή κατάσταση</w:t>
            </w:r>
          </w:p>
        </w:tc>
        <w:tc>
          <w:tcPr>
            <w:tcW w:w="218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Άγαμος/η</w:t>
            </w:r>
          </w:p>
        </w:tc>
        <w:tc>
          <w:tcPr>
            <w:tcW w:w="93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15</w:t>
            </w:r>
          </w:p>
        </w:tc>
        <w:tc>
          <w:tcPr>
            <w:tcW w:w="93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15.0%</w:t>
            </w:r>
          </w:p>
        </w:tc>
      </w:tr>
      <w:tr w:rsidR="001B3514">
        <w:trPr>
          <w:trHeight w:val="287"/>
          <w:jc w:val="center"/>
        </w:trPr>
        <w:tc>
          <w:tcPr>
            <w:tcW w:w="1992"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218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Έγγαμος/η</w:t>
            </w:r>
          </w:p>
        </w:tc>
        <w:tc>
          <w:tcPr>
            <w:tcW w:w="93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66</w:t>
            </w:r>
          </w:p>
        </w:tc>
        <w:tc>
          <w:tcPr>
            <w:tcW w:w="93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66.0%</w:t>
            </w:r>
          </w:p>
        </w:tc>
      </w:tr>
      <w:tr w:rsidR="001B3514">
        <w:trPr>
          <w:trHeight w:val="287"/>
          <w:jc w:val="center"/>
        </w:trPr>
        <w:tc>
          <w:tcPr>
            <w:tcW w:w="1992"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218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Διαζευγμένος/η</w:t>
            </w:r>
          </w:p>
        </w:tc>
        <w:tc>
          <w:tcPr>
            <w:tcW w:w="93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4</w:t>
            </w:r>
          </w:p>
        </w:tc>
        <w:tc>
          <w:tcPr>
            <w:tcW w:w="93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4.0%</w:t>
            </w:r>
          </w:p>
        </w:tc>
      </w:tr>
      <w:tr w:rsidR="001B3514">
        <w:trPr>
          <w:trHeight w:val="287"/>
          <w:jc w:val="center"/>
        </w:trPr>
        <w:tc>
          <w:tcPr>
            <w:tcW w:w="1992"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218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Χήρος/α</w:t>
            </w:r>
          </w:p>
        </w:tc>
        <w:tc>
          <w:tcPr>
            <w:tcW w:w="93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15</w:t>
            </w:r>
          </w:p>
        </w:tc>
        <w:tc>
          <w:tcPr>
            <w:tcW w:w="93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15.0%</w:t>
            </w:r>
          </w:p>
        </w:tc>
      </w:tr>
      <w:tr w:rsidR="001B3514">
        <w:trPr>
          <w:trHeight w:val="287"/>
          <w:jc w:val="center"/>
        </w:trPr>
        <w:tc>
          <w:tcPr>
            <w:tcW w:w="1992"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 </w:t>
            </w:r>
          </w:p>
        </w:tc>
        <w:tc>
          <w:tcPr>
            <w:tcW w:w="2183"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Σύνολο</w:t>
            </w:r>
          </w:p>
        </w:tc>
        <w:tc>
          <w:tcPr>
            <w:tcW w:w="936"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100</w:t>
            </w:r>
          </w:p>
        </w:tc>
        <w:tc>
          <w:tcPr>
            <w:tcW w:w="933"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100.0%</w:t>
            </w:r>
          </w:p>
        </w:tc>
      </w:tr>
      <w:tr w:rsidR="001B3514">
        <w:trPr>
          <w:trHeight w:val="287"/>
          <w:jc w:val="center"/>
        </w:trPr>
        <w:tc>
          <w:tcPr>
            <w:tcW w:w="1992"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Επαγγελματική κατάσταση</w:t>
            </w:r>
          </w:p>
        </w:tc>
        <w:tc>
          <w:tcPr>
            <w:tcW w:w="218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Άνεργος</w:t>
            </w:r>
          </w:p>
        </w:tc>
        <w:tc>
          <w:tcPr>
            <w:tcW w:w="93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12</w:t>
            </w:r>
          </w:p>
        </w:tc>
        <w:tc>
          <w:tcPr>
            <w:tcW w:w="93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12.0%</w:t>
            </w:r>
          </w:p>
        </w:tc>
      </w:tr>
      <w:tr w:rsidR="001B3514">
        <w:trPr>
          <w:trHeight w:val="287"/>
          <w:jc w:val="center"/>
        </w:trPr>
        <w:tc>
          <w:tcPr>
            <w:tcW w:w="1992"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218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Οικιακά</w:t>
            </w:r>
          </w:p>
        </w:tc>
        <w:tc>
          <w:tcPr>
            <w:tcW w:w="93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9</w:t>
            </w:r>
          </w:p>
        </w:tc>
        <w:tc>
          <w:tcPr>
            <w:tcW w:w="93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9.0%</w:t>
            </w:r>
          </w:p>
        </w:tc>
      </w:tr>
      <w:tr w:rsidR="001B3514">
        <w:trPr>
          <w:trHeight w:val="287"/>
          <w:jc w:val="center"/>
        </w:trPr>
        <w:tc>
          <w:tcPr>
            <w:tcW w:w="1992"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218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Αυτοαπασχολούμενος</w:t>
            </w:r>
          </w:p>
        </w:tc>
        <w:tc>
          <w:tcPr>
            <w:tcW w:w="93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11</w:t>
            </w:r>
          </w:p>
        </w:tc>
        <w:tc>
          <w:tcPr>
            <w:tcW w:w="93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11.0%</w:t>
            </w:r>
          </w:p>
        </w:tc>
      </w:tr>
      <w:tr w:rsidR="001B3514">
        <w:trPr>
          <w:trHeight w:val="287"/>
          <w:jc w:val="center"/>
        </w:trPr>
        <w:tc>
          <w:tcPr>
            <w:tcW w:w="1992"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218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Ιδιωτικός υπάλληλος</w:t>
            </w:r>
          </w:p>
        </w:tc>
        <w:tc>
          <w:tcPr>
            <w:tcW w:w="93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12</w:t>
            </w:r>
          </w:p>
        </w:tc>
        <w:tc>
          <w:tcPr>
            <w:tcW w:w="93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12.0%</w:t>
            </w:r>
          </w:p>
        </w:tc>
      </w:tr>
      <w:tr w:rsidR="001B3514">
        <w:trPr>
          <w:trHeight w:val="287"/>
          <w:jc w:val="center"/>
        </w:trPr>
        <w:tc>
          <w:tcPr>
            <w:tcW w:w="1992"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218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Δημόσιος υπάλληλος</w:t>
            </w:r>
          </w:p>
        </w:tc>
        <w:tc>
          <w:tcPr>
            <w:tcW w:w="93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8</w:t>
            </w:r>
          </w:p>
        </w:tc>
        <w:tc>
          <w:tcPr>
            <w:tcW w:w="93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8.0%</w:t>
            </w:r>
          </w:p>
        </w:tc>
      </w:tr>
      <w:tr w:rsidR="001B3514">
        <w:trPr>
          <w:trHeight w:val="287"/>
          <w:jc w:val="center"/>
        </w:trPr>
        <w:tc>
          <w:tcPr>
            <w:tcW w:w="1992"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218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Συνταξιούχος</w:t>
            </w:r>
          </w:p>
        </w:tc>
        <w:tc>
          <w:tcPr>
            <w:tcW w:w="93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48</w:t>
            </w:r>
          </w:p>
        </w:tc>
        <w:tc>
          <w:tcPr>
            <w:tcW w:w="93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48.0%</w:t>
            </w:r>
          </w:p>
        </w:tc>
      </w:tr>
      <w:tr w:rsidR="001B3514">
        <w:trPr>
          <w:trHeight w:val="287"/>
          <w:jc w:val="center"/>
        </w:trPr>
        <w:tc>
          <w:tcPr>
            <w:tcW w:w="1992"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 </w:t>
            </w:r>
          </w:p>
        </w:tc>
        <w:tc>
          <w:tcPr>
            <w:tcW w:w="2183"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Σύνολο</w:t>
            </w:r>
          </w:p>
        </w:tc>
        <w:tc>
          <w:tcPr>
            <w:tcW w:w="936"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100</w:t>
            </w:r>
          </w:p>
        </w:tc>
        <w:tc>
          <w:tcPr>
            <w:tcW w:w="933"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100.0%</w:t>
            </w:r>
          </w:p>
        </w:tc>
      </w:tr>
    </w:tbl>
    <w:p w:rsidR="001B3514" w:rsidRDefault="00782E3E">
      <w:pPr>
        <w:rPr>
          <w:lang w:eastAsia="zh-CN" w:bidi="hi-IN"/>
        </w:rPr>
      </w:pPr>
      <w:r>
        <w:rPr>
          <w:lang w:eastAsia="zh-CN" w:bidi="hi-IN"/>
        </w:rPr>
        <w:t xml:space="preserve">Από τον παραπάνω πίνακα φαίνεται πως το δείγμα της μελέτης αποτελείται από 100 άτομα εκ των οποίων οι 57 (57%) είναι γυναίκες και οι 43 (43%) είναι άντρες. Σε ερώτηση αναφορικά με την οικογενειακή κατάσταση του δείγματος 66 (66%) εκ των ερωτηθέντων απάντησαν πως είναι έγγαμοι και 4 (4%) πως είναι διαζευγμένοι. Σχετικά με την επαγγελματική τους κατάσταση 48 (48%) εκ των συμμετεχόντων δήλωσαν συνταξιούχοι και 8 (8%) δημόσιοι υπάλληλοι. </w:t>
      </w:r>
    </w:p>
    <w:p w:rsidR="001B3514" w:rsidRDefault="00782E3E">
      <w:pPr>
        <w:spacing w:line="259" w:lineRule="auto"/>
        <w:jc w:val="left"/>
        <w:rPr>
          <w:lang w:eastAsia="zh-CN" w:bidi="hi-IN"/>
        </w:rPr>
      </w:pPr>
      <w:r>
        <w:br w:type="page"/>
      </w:r>
    </w:p>
    <w:p w:rsidR="001B3514" w:rsidRDefault="00782E3E">
      <w:pPr>
        <w:pStyle w:val="aa"/>
        <w:keepNext/>
      </w:pPr>
      <w:bookmarkStart w:id="42" w:name="_Toc64641811"/>
      <w:r>
        <w:lastRenderedPageBreak/>
        <w:t xml:space="preserve">Πίνακας </w:t>
      </w:r>
      <w:r w:rsidR="00B061D7">
        <w:fldChar w:fldCharType="begin"/>
      </w:r>
      <w:r>
        <w:instrText>SEQ Πίνακας \* ARABIC</w:instrText>
      </w:r>
      <w:r w:rsidR="00B061D7">
        <w:fldChar w:fldCharType="separate"/>
      </w:r>
      <w:r w:rsidR="001D06AA">
        <w:rPr>
          <w:noProof/>
        </w:rPr>
        <w:t>4</w:t>
      </w:r>
      <w:r w:rsidR="00B061D7">
        <w:fldChar w:fldCharType="end"/>
      </w:r>
      <w:r>
        <w:t xml:space="preserve"> Κατανομή οικονομικού προφίλ του δείγματος της έρευνας</w:t>
      </w:r>
      <w:bookmarkEnd w:id="42"/>
    </w:p>
    <w:tbl>
      <w:tblPr>
        <w:tblW w:w="7846" w:type="dxa"/>
        <w:jc w:val="center"/>
        <w:tblBorders>
          <w:top w:val="single" w:sz="4" w:space="0" w:color="000001"/>
          <w:bottom w:val="single" w:sz="4" w:space="0" w:color="000001"/>
          <w:insideH w:val="single" w:sz="4" w:space="0" w:color="000001"/>
        </w:tblBorders>
        <w:tblLook w:val="04A0"/>
      </w:tblPr>
      <w:tblGrid>
        <w:gridCol w:w="3587"/>
        <w:gridCol w:w="1892"/>
        <w:gridCol w:w="1184"/>
        <w:gridCol w:w="1183"/>
      </w:tblGrid>
      <w:tr w:rsidR="001B3514">
        <w:trPr>
          <w:trHeight w:val="265"/>
          <w:jc w:val="center"/>
        </w:trPr>
        <w:tc>
          <w:tcPr>
            <w:tcW w:w="5478" w:type="dxa"/>
            <w:gridSpan w:val="2"/>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w:t>
            </w:r>
          </w:p>
        </w:tc>
        <w:tc>
          <w:tcPr>
            <w:tcW w:w="118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w:t>
            </w:r>
          </w:p>
        </w:tc>
        <w:tc>
          <w:tcPr>
            <w:tcW w:w="118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xml:space="preserve"> %</w:t>
            </w:r>
          </w:p>
        </w:tc>
      </w:tr>
      <w:tr w:rsidR="001B3514">
        <w:trPr>
          <w:trHeight w:val="265"/>
          <w:jc w:val="center"/>
        </w:trPr>
        <w:tc>
          <w:tcPr>
            <w:tcW w:w="3586"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Παίρνετε επίδομα ανεργίας;</w:t>
            </w:r>
          </w:p>
        </w:tc>
        <w:tc>
          <w:tcPr>
            <w:tcW w:w="189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Ναι</w:t>
            </w:r>
          </w:p>
        </w:tc>
        <w:tc>
          <w:tcPr>
            <w:tcW w:w="118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w:t>
            </w:r>
          </w:p>
        </w:tc>
        <w:tc>
          <w:tcPr>
            <w:tcW w:w="118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22.2%</w:t>
            </w:r>
          </w:p>
        </w:tc>
      </w:tr>
      <w:tr w:rsidR="001B3514">
        <w:trPr>
          <w:trHeight w:val="265"/>
          <w:jc w:val="center"/>
        </w:trPr>
        <w:tc>
          <w:tcPr>
            <w:tcW w:w="3586"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89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Όχι</w:t>
            </w:r>
          </w:p>
        </w:tc>
        <w:tc>
          <w:tcPr>
            <w:tcW w:w="118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7</w:t>
            </w:r>
          </w:p>
        </w:tc>
        <w:tc>
          <w:tcPr>
            <w:tcW w:w="118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77.8%</w:t>
            </w:r>
          </w:p>
        </w:tc>
      </w:tr>
      <w:tr w:rsidR="001B3514">
        <w:trPr>
          <w:trHeight w:val="265"/>
          <w:jc w:val="center"/>
        </w:trPr>
        <w:tc>
          <w:tcPr>
            <w:tcW w:w="3586"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 </w:t>
            </w:r>
          </w:p>
        </w:tc>
        <w:tc>
          <w:tcPr>
            <w:tcW w:w="1892"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Σύνολο</w:t>
            </w:r>
          </w:p>
        </w:tc>
        <w:tc>
          <w:tcPr>
            <w:tcW w:w="1184"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9</w:t>
            </w:r>
          </w:p>
        </w:tc>
        <w:tc>
          <w:tcPr>
            <w:tcW w:w="1183"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100.0%</w:t>
            </w:r>
          </w:p>
        </w:tc>
      </w:tr>
      <w:tr w:rsidR="001B3514">
        <w:trPr>
          <w:trHeight w:val="265"/>
          <w:jc w:val="center"/>
        </w:trPr>
        <w:tc>
          <w:tcPr>
            <w:tcW w:w="3586"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Βοηθάτε οικονομικά τα παιδιά σας;</w:t>
            </w:r>
          </w:p>
        </w:tc>
        <w:tc>
          <w:tcPr>
            <w:tcW w:w="189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Ναι</w:t>
            </w:r>
          </w:p>
        </w:tc>
        <w:tc>
          <w:tcPr>
            <w:tcW w:w="118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58</w:t>
            </w:r>
          </w:p>
        </w:tc>
        <w:tc>
          <w:tcPr>
            <w:tcW w:w="118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58.0%</w:t>
            </w:r>
          </w:p>
        </w:tc>
      </w:tr>
      <w:tr w:rsidR="001B3514">
        <w:trPr>
          <w:trHeight w:val="265"/>
          <w:jc w:val="center"/>
        </w:trPr>
        <w:tc>
          <w:tcPr>
            <w:tcW w:w="3586"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89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Όχι</w:t>
            </w:r>
          </w:p>
        </w:tc>
        <w:tc>
          <w:tcPr>
            <w:tcW w:w="118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26</w:t>
            </w:r>
          </w:p>
        </w:tc>
        <w:tc>
          <w:tcPr>
            <w:tcW w:w="118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26.0%</w:t>
            </w:r>
          </w:p>
        </w:tc>
      </w:tr>
      <w:tr w:rsidR="001B3514">
        <w:trPr>
          <w:trHeight w:val="265"/>
          <w:jc w:val="center"/>
        </w:trPr>
        <w:tc>
          <w:tcPr>
            <w:tcW w:w="3586"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89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Δεν έχω παιδιά</w:t>
            </w:r>
          </w:p>
        </w:tc>
        <w:tc>
          <w:tcPr>
            <w:tcW w:w="118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16</w:t>
            </w:r>
          </w:p>
        </w:tc>
        <w:tc>
          <w:tcPr>
            <w:tcW w:w="118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16.0%</w:t>
            </w:r>
          </w:p>
        </w:tc>
      </w:tr>
      <w:tr w:rsidR="001B3514">
        <w:trPr>
          <w:trHeight w:val="265"/>
          <w:jc w:val="center"/>
        </w:trPr>
        <w:tc>
          <w:tcPr>
            <w:tcW w:w="3586"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 </w:t>
            </w:r>
          </w:p>
        </w:tc>
        <w:tc>
          <w:tcPr>
            <w:tcW w:w="1892"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Σύνολο</w:t>
            </w:r>
          </w:p>
        </w:tc>
        <w:tc>
          <w:tcPr>
            <w:tcW w:w="1184"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100</w:t>
            </w:r>
          </w:p>
        </w:tc>
        <w:tc>
          <w:tcPr>
            <w:tcW w:w="1183"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100.0%</w:t>
            </w:r>
          </w:p>
        </w:tc>
      </w:tr>
      <w:tr w:rsidR="001B3514">
        <w:trPr>
          <w:trHeight w:val="265"/>
          <w:jc w:val="center"/>
        </w:trPr>
        <w:tc>
          <w:tcPr>
            <w:tcW w:w="3586"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Βοηθάτε οικονομικά τα αδέρφια σας ή τους γονείς σας;</w:t>
            </w:r>
          </w:p>
        </w:tc>
        <w:tc>
          <w:tcPr>
            <w:tcW w:w="189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Ναι</w:t>
            </w:r>
          </w:p>
        </w:tc>
        <w:tc>
          <w:tcPr>
            <w:tcW w:w="118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13</w:t>
            </w:r>
          </w:p>
        </w:tc>
        <w:tc>
          <w:tcPr>
            <w:tcW w:w="118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13.0%</w:t>
            </w:r>
          </w:p>
        </w:tc>
      </w:tr>
      <w:tr w:rsidR="001B3514">
        <w:trPr>
          <w:trHeight w:val="265"/>
          <w:jc w:val="center"/>
        </w:trPr>
        <w:tc>
          <w:tcPr>
            <w:tcW w:w="3586"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89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Όχι</w:t>
            </w:r>
          </w:p>
        </w:tc>
        <w:tc>
          <w:tcPr>
            <w:tcW w:w="118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73</w:t>
            </w:r>
          </w:p>
        </w:tc>
        <w:tc>
          <w:tcPr>
            <w:tcW w:w="118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73.0%</w:t>
            </w:r>
          </w:p>
        </w:tc>
      </w:tr>
      <w:tr w:rsidR="001B3514">
        <w:trPr>
          <w:trHeight w:val="265"/>
          <w:jc w:val="center"/>
        </w:trPr>
        <w:tc>
          <w:tcPr>
            <w:tcW w:w="3586"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89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Μερικές φορές</w:t>
            </w:r>
          </w:p>
        </w:tc>
        <w:tc>
          <w:tcPr>
            <w:tcW w:w="118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14</w:t>
            </w:r>
          </w:p>
        </w:tc>
        <w:tc>
          <w:tcPr>
            <w:tcW w:w="118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14.0%</w:t>
            </w:r>
          </w:p>
        </w:tc>
      </w:tr>
      <w:tr w:rsidR="001B3514">
        <w:trPr>
          <w:trHeight w:val="265"/>
          <w:jc w:val="center"/>
        </w:trPr>
        <w:tc>
          <w:tcPr>
            <w:tcW w:w="3586"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 </w:t>
            </w:r>
          </w:p>
        </w:tc>
        <w:tc>
          <w:tcPr>
            <w:tcW w:w="1892"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Σύνολο</w:t>
            </w:r>
          </w:p>
        </w:tc>
        <w:tc>
          <w:tcPr>
            <w:tcW w:w="1184"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100</w:t>
            </w:r>
          </w:p>
        </w:tc>
        <w:tc>
          <w:tcPr>
            <w:tcW w:w="1183"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100.0%</w:t>
            </w:r>
          </w:p>
        </w:tc>
      </w:tr>
      <w:tr w:rsidR="001B3514">
        <w:trPr>
          <w:trHeight w:val="265"/>
          <w:jc w:val="center"/>
        </w:trPr>
        <w:tc>
          <w:tcPr>
            <w:tcW w:w="3586"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Σας βοηθούν οικονομικά τα παιδιά σας ή τα αδέρφια σας ή οι γονείς σας;</w:t>
            </w:r>
          </w:p>
        </w:tc>
        <w:tc>
          <w:tcPr>
            <w:tcW w:w="189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Ναι</w:t>
            </w:r>
          </w:p>
        </w:tc>
        <w:tc>
          <w:tcPr>
            <w:tcW w:w="118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21</w:t>
            </w:r>
          </w:p>
        </w:tc>
        <w:tc>
          <w:tcPr>
            <w:tcW w:w="118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21.0%</w:t>
            </w:r>
          </w:p>
        </w:tc>
      </w:tr>
      <w:tr w:rsidR="001B3514">
        <w:trPr>
          <w:trHeight w:val="265"/>
          <w:jc w:val="center"/>
        </w:trPr>
        <w:tc>
          <w:tcPr>
            <w:tcW w:w="3586"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89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Όχι</w:t>
            </w:r>
          </w:p>
        </w:tc>
        <w:tc>
          <w:tcPr>
            <w:tcW w:w="118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68</w:t>
            </w:r>
          </w:p>
        </w:tc>
        <w:tc>
          <w:tcPr>
            <w:tcW w:w="118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68.0%</w:t>
            </w:r>
          </w:p>
        </w:tc>
      </w:tr>
      <w:tr w:rsidR="001B3514">
        <w:trPr>
          <w:trHeight w:val="265"/>
          <w:jc w:val="center"/>
        </w:trPr>
        <w:tc>
          <w:tcPr>
            <w:tcW w:w="3586"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89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Μερικές φορές</w:t>
            </w:r>
          </w:p>
        </w:tc>
        <w:tc>
          <w:tcPr>
            <w:tcW w:w="118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11</w:t>
            </w:r>
          </w:p>
        </w:tc>
        <w:tc>
          <w:tcPr>
            <w:tcW w:w="118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11.0%</w:t>
            </w:r>
          </w:p>
        </w:tc>
      </w:tr>
      <w:tr w:rsidR="001B3514">
        <w:trPr>
          <w:trHeight w:val="265"/>
          <w:jc w:val="center"/>
        </w:trPr>
        <w:tc>
          <w:tcPr>
            <w:tcW w:w="3586"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 </w:t>
            </w:r>
          </w:p>
        </w:tc>
        <w:tc>
          <w:tcPr>
            <w:tcW w:w="1892"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Σύνολο</w:t>
            </w:r>
          </w:p>
        </w:tc>
        <w:tc>
          <w:tcPr>
            <w:tcW w:w="1184"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100</w:t>
            </w:r>
          </w:p>
        </w:tc>
        <w:tc>
          <w:tcPr>
            <w:tcW w:w="1183"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100.0%</w:t>
            </w:r>
          </w:p>
        </w:tc>
      </w:tr>
      <w:tr w:rsidR="001B3514">
        <w:trPr>
          <w:trHeight w:val="265"/>
          <w:jc w:val="center"/>
        </w:trPr>
        <w:tc>
          <w:tcPr>
            <w:tcW w:w="3586"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Νοικιάζετε σπίτι;</w:t>
            </w:r>
          </w:p>
        </w:tc>
        <w:tc>
          <w:tcPr>
            <w:tcW w:w="189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Ναι</w:t>
            </w:r>
          </w:p>
        </w:tc>
        <w:tc>
          <w:tcPr>
            <w:tcW w:w="118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22</w:t>
            </w:r>
          </w:p>
        </w:tc>
        <w:tc>
          <w:tcPr>
            <w:tcW w:w="118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22.0%</w:t>
            </w:r>
          </w:p>
        </w:tc>
      </w:tr>
      <w:tr w:rsidR="001B3514">
        <w:trPr>
          <w:trHeight w:val="265"/>
          <w:jc w:val="center"/>
        </w:trPr>
        <w:tc>
          <w:tcPr>
            <w:tcW w:w="3586"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89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Όχι</w:t>
            </w:r>
          </w:p>
        </w:tc>
        <w:tc>
          <w:tcPr>
            <w:tcW w:w="118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78</w:t>
            </w:r>
          </w:p>
        </w:tc>
        <w:tc>
          <w:tcPr>
            <w:tcW w:w="118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78.0%</w:t>
            </w:r>
          </w:p>
        </w:tc>
      </w:tr>
      <w:tr w:rsidR="001B3514">
        <w:trPr>
          <w:trHeight w:val="265"/>
          <w:jc w:val="center"/>
        </w:trPr>
        <w:tc>
          <w:tcPr>
            <w:tcW w:w="3586"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 </w:t>
            </w:r>
          </w:p>
        </w:tc>
        <w:tc>
          <w:tcPr>
            <w:tcW w:w="1892"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Σύνολο</w:t>
            </w:r>
          </w:p>
        </w:tc>
        <w:tc>
          <w:tcPr>
            <w:tcW w:w="1184"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100</w:t>
            </w:r>
          </w:p>
        </w:tc>
        <w:tc>
          <w:tcPr>
            <w:tcW w:w="1183"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100.0%</w:t>
            </w:r>
          </w:p>
        </w:tc>
      </w:tr>
      <w:tr w:rsidR="001B3514">
        <w:trPr>
          <w:trHeight w:val="265"/>
          <w:jc w:val="center"/>
        </w:trPr>
        <w:tc>
          <w:tcPr>
            <w:tcW w:w="3586"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Έχετε εξοχικό;</w:t>
            </w:r>
          </w:p>
        </w:tc>
        <w:tc>
          <w:tcPr>
            <w:tcW w:w="189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Ναι</w:t>
            </w:r>
          </w:p>
        </w:tc>
        <w:tc>
          <w:tcPr>
            <w:tcW w:w="118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13</w:t>
            </w:r>
          </w:p>
        </w:tc>
        <w:tc>
          <w:tcPr>
            <w:tcW w:w="118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13.0%</w:t>
            </w:r>
          </w:p>
        </w:tc>
      </w:tr>
      <w:tr w:rsidR="001B3514">
        <w:trPr>
          <w:trHeight w:val="265"/>
          <w:jc w:val="center"/>
        </w:trPr>
        <w:tc>
          <w:tcPr>
            <w:tcW w:w="3586"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89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Όχι</w:t>
            </w:r>
          </w:p>
        </w:tc>
        <w:tc>
          <w:tcPr>
            <w:tcW w:w="118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87</w:t>
            </w:r>
          </w:p>
        </w:tc>
        <w:tc>
          <w:tcPr>
            <w:tcW w:w="118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87.0%</w:t>
            </w:r>
          </w:p>
        </w:tc>
      </w:tr>
      <w:tr w:rsidR="001B3514">
        <w:trPr>
          <w:trHeight w:val="265"/>
          <w:jc w:val="center"/>
        </w:trPr>
        <w:tc>
          <w:tcPr>
            <w:tcW w:w="3586"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 </w:t>
            </w:r>
          </w:p>
        </w:tc>
        <w:tc>
          <w:tcPr>
            <w:tcW w:w="1892"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Σύνολο</w:t>
            </w:r>
          </w:p>
        </w:tc>
        <w:tc>
          <w:tcPr>
            <w:tcW w:w="1184"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100</w:t>
            </w:r>
          </w:p>
        </w:tc>
        <w:tc>
          <w:tcPr>
            <w:tcW w:w="1183"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100.0%</w:t>
            </w:r>
          </w:p>
        </w:tc>
      </w:tr>
      <w:tr w:rsidR="001B3514">
        <w:trPr>
          <w:trHeight w:val="265"/>
          <w:jc w:val="center"/>
        </w:trPr>
        <w:tc>
          <w:tcPr>
            <w:tcW w:w="3586"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Έχετε πατρικό σπίτι;</w:t>
            </w:r>
          </w:p>
        </w:tc>
        <w:tc>
          <w:tcPr>
            <w:tcW w:w="189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Ναι</w:t>
            </w:r>
          </w:p>
        </w:tc>
        <w:tc>
          <w:tcPr>
            <w:tcW w:w="118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32</w:t>
            </w:r>
          </w:p>
        </w:tc>
        <w:tc>
          <w:tcPr>
            <w:tcW w:w="118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32.0%</w:t>
            </w:r>
          </w:p>
        </w:tc>
      </w:tr>
      <w:tr w:rsidR="001B3514">
        <w:trPr>
          <w:trHeight w:val="265"/>
          <w:jc w:val="center"/>
        </w:trPr>
        <w:tc>
          <w:tcPr>
            <w:tcW w:w="3586"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89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Όχι</w:t>
            </w:r>
          </w:p>
        </w:tc>
        <w:tc>
          <w:tcPr>
            <w:tcW w:w="118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68</w:t>
            </w:r>
          </w:p>
        </w:tc>
        <w:tc>
          <w:tcPr>
            <w:tcW w:w="118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68.0%</w:t>
            </w:r>
          </w:p>
        </w:tc>
      </w:tr>
      <w:tr w:rsidR="001B3514">
        <w:trPr>
          <w:trHeight w:val="265"/>
          <w:jc w:val="center"/>
        </w:trPr>
        <w:tc>
          <w:tcPr>
            <w:tcW w:w="3586"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 </w:t>
            </w:r>
          </w:p>
        </w:tc>
        <w:tc>
          <w:tcPr>
            <w:tcW w:w="1892"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Σύνολο</w:t>
            </w:r>
          </w:p>
        </w:tc>
        <w:tc>
          <w:tcPr>
            <w:tcW w:w="1184"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100</w:t>
            </w:r>
          </w:p>
        </w:tc>
        <w:tc>
          <w:tcPr>
            <w:tcW w:w="1183"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100.0%</w:t>
            </w:r>
          </w:p>
        </w:tc>
      </w:tr>
      <w:tr w:rsidR="001B3514">
        <w:trPr>
          <w:trHeight w:val="265"/>
          <w:jc w:val="center"/>
        </w:trPr>
        <w:tc>
          <w:tcPr>
            <w:tcW w:w="3586"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Έχετε δάνεια;</w:t>
            </w:r>
          </w:p>
        </w:tc>
        <w:tc>
          <w:tcPr>
            <w:tcW w:w="189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Ναι</w:t>
            </w:r>
          </w:p>
        </w:tc>
        <w:tc>
          <w:tcPr>
            <w:tcW w:w="118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35</w:t>
            </w:r>
          </w:p>
        </w:tc>
        <w:tc>
          <w:tcPr>
            <w:tcW w:w="118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35.0%</w:t>
            </w:r>
          </w:p>
        </w:tc>
      </w:tr>
      <w:tr w:rsidR="001B3514">
        <w:trPr>
          <w:trHeight w:val="265"/>
          <w:jc w:val="center"/>
        </w:trPr>
        <w:tc>
          <w:tcPr>
            <w:tcW w:w="3586"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89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Όχι</w:t>
            </w:r>
          </w:p>
        </w:tc>
        <w:tc>
          <w:tcPr>
            <w:tcW w:w="118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65</w:t>
            </w:r>
          </w:p>
        </w:tc>
        <w:tc>
          <w:tcPr>
            <w:tcW w:w="118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65.0%</w:t>
            </w:r>
          </w:p>
        </w:tc>
      </w:tr>
      <w:tr w:rsidR="001B3514">
        <w:trPr>
          <w:trHeight w:val="265"/>
          <w:jc w:val="center"/>
        </w:trPr>
        <w:tc>
          <w:tcPr>
            <w:tcW w:w="3586"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 </w:t>
            </w:r>
          </w:p>
        </w:tc>
        <w:tc>
          <w:tcPr>
            <w:tcW w:w="1892"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Σύνολο</w:t>
            </w:r>
          </w:p>
        </w:tc>
        <w:tc>
          <w:tcPr>
            <w:tcW w:w="1184"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100</w:t>
            </w:r>
          </w:p>
        </w:tc>
        <w:tc>
          <w:tcPr>
            <w:tcW w:w="1183"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100.0%</w:t>
            </w:r>
          </w:p>
        </w:tc>
      </w:tr>
      <w:tr w:rsidR="001B3514">
        <w:trPr>
          <w:trHeight w:val="265"/>
          <w:jc w:val="center"/>
        </w:trPr>
        <w:tc>
          <w:tcPr>
            <w:tcW w:w="3586"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Αν ναι, ποιά;</w:t>
            </w:r>
          </w:p>
        </w:tc>
        <w:tc>
          <w:tcPr>
            <w:tcW w:w="189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Στεγαστικά</w:t>
            </w:r>
          </w:p>
        </w:tc>
        <w:tc>
          <w:tcPr>
            <w:tcW w:w="118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15</w:t>
            </w:r>
          </w:p>
        </w:tc>
        <w:tc>
          <w:tcPr>
            <w:tcW w:w="118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42.9%</w:t>
            </w:r>
          </w:p>
        </w:tc>
      </w:tr>
      <w:tr w:rsidR="001B3514">
        <w:trPr>
          <w:trHeight w:val="265"/>
          <w:jc w:val="center"/>
        </w:trPr>
        <w:tc>
          <w:tcPr>
            <w:tcW w:w="3586"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89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Καταναλωτικά</w:t>
            </w:r>
          </w:p>
        </w:tc>
        <w:tc>
          <w:tcPr>
            <w:tcW w:w="118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4</w:t>
            </w:r>
          </w:p>
        </w:tc>
        <w:tc>
          <w:tcPr>
            <w:tcW w:w="118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11.4%</w:t>
            </w:r>
          </w:p>
        </w:tc>
      </w:tr>
      <w:tr w:rsidR="001B3514">
        <w:trPr>
          <w:trHeight w:val="265"/>
          <w:jc w:val="center"/>
        </w:trPr>
        <w:tc>
          <w:tcPr>
            <w:tcW w:w="3586"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89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Κάρτες</w:t>
            </w:r>
          </w:p>
        </w:tc>
        <w:tc>
          <w:tcPr>
            <w:tcW w:w="118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16</w:t>
            </w:r>
          </w:p>
        </w:tc>
        <w:tc>
          <w:tcPr>
            <w:tcW w:w="118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45.7%</w:t>
            </w:r>
          </w:p>
        </w:tc>
      </w:tr>
      <w:tr w:rsidR="001B3514">
        <w:trPr>
          <w:trHeight w:val="265"/>
          <w:jc w:val="center"/>
        </w:trPr>
        <w:tc>
          <w:tcPr>
            <w:tcW w:w="3586"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 </w:t>
            </w:r>
          </w:p>
        </w:tc>
        <w:tc>
          <w:tcPr>
            <w:tcW w:w="1892"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Σύνολο</w:t>
            </w:r>
          </w:p>
        </w:tc>
        <w:tc>
          <w:tcPr>
            <w:tcW w:w="1184"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35</w:t>
            </w:r>
          </w:p>
        </w:tc>
        <w:tc>
          <w:tcPr>
            <w:tcW w:w="1183"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100.0%</w:t>
            </w:r>
          </w:p>
        </w:tc>
      </w:tr>
    </w:tbl>
    <w:p w:rsidR="001B3514" w:rsidRDefault="00782E3E">
      <w:pPr>
        <w:rPr>
          <w:lang w:eastAsia="zh-CN" w:bidi="hi-IN"/>
        </w:rPr>
      </w:pPr>
      <w:r>
        <w:rPr>
          <w:lang w:eastAsia="zh-CN" w:bidi="hi-IN"/>
        </w:rPr>
        <w:t xml:space="preserve">Σύμφωνα με τον παραπάνω πίνακα στην ερώτηση «Παίρνετε επίδομα ανεργίας;», 8 στους 10 ερωτηθέντες απάντησαν αρνητικά και 2 στους 10 έδωσαν θετική απάντηση. Στην ερώτηση «Βοηθάτε οικονομικά τα παιδιά σας;» 6 στους 10 απάντησαν θετικά και 1 στους 10 ερωτηθέντες του δείγματος δεν έχει παιδιά. Στην ερώτηση «Βοηθάτε οικονομικά τα αδέρφια σας ή τους γονείς σας;», 7 στους 10 απάντησαν αρνητικά και 1 στους 10 ερωτηθέντες του δείγματος απάντησαν μερικές φορές. Στην ερώτηση «Σας βοηθούν οικονομικά τα παιδιά σας ή τα αδέρφια σας ή οι γονείς σας;», 7 στους 10 απάντησαν αρνητικά και 1 στους 10 ερωτηθέντες του </w:t>
      </w:r>
      <w:r>
        <w:rPr>
          <w:lang w:eastAsia="zh-CN" w:bidi="hi-IN"/>
        </w:rPr>
        <w:lastRenderedPageBreak/>
        <w:t>δείγματος απάντησαν μερικές φορές. Στην ερώτηση «Νοικιάζετε σπίτι;», 8 στους 10 ερωτηθέντες απάντησαν αρνητικά και 2 στους 10 έδωσαν θετική απάντηση. Στην ερώτηση «Έχετε εξοχικό;», 9 στους 10 ερωτηθέντες απάντησαν αρνητικά και 1 στους 10 έδωσε θετική απάντηση. Στην ερώτηση «Έχετε πατρικό σπίτι;» 7 στους 10 ερωτηθέντες απάντησαν αρνητικά και 3 στους 10 έδωσαν θετική απάντηση. Στην ερώτηση «Έχετε δάνεια;», 7 στους 10 ερωτηθέντες απάντησαν αρνητικά και 3 στους 10 έδωσαν θετική απάντηση. Αναφέροντας πιο συγκεκριμένα την κατηγορία των δανείων, οι περισσότεροι συμμετέχοντες έχουν οφειλές σε κάρτες (45.7%), ακολουθούν εκείνοι που έχουν στεγαστικά δάνεια (42.9%) και εκείνοι για τους οποίους εκκρεμούν καταναλωτικά δάνεια (11.4%).</w:t>
      </w:r>
    </w:p>
    <w:p w:rsidR="001B3514" w:rsidRDefault="001B3514">
      <w:pPr>
        <w:rPr>
          <w:lang w:eastAsia="zh-CN" w:bidi="hi-IN"/>
        </w:rPr>
      </w:pPr>
    </w:p>
    <w:p w:rsidR="001B3514" w:rsidRDefault="00782E3E">
      <w:pPr>
        <w:pStyle w:val="aa"/>
        <w:keepNext/>
      </w:pPr>
      <w:bookmarkStart w:id="43" w:name="_Toc64641812"/>
      <w:r>
        <w:t xml:space="preserve">Πίνακας </w:t>
      </w:r>
      <w:r w:rsidR="00B061D7">
        <w:fldChar w:fldCharType="begin"/>
      </w:r>
      <w:r>
        <w:instrText>SEQ Πίνακας \* ARABIC</w:instrText>
      </w:r>
      <w:r w:rsidR="00B061D7">
        <w:fldChar w:fldCharType="separate"/>
      </w:r>
      <w:r w:rsidR="001D06AA">
        <w:rPr>
          <w:noProof/>
        </w:rPr>
        <w:t>5</w:t>
      </w:r>
      <w:r w:rsidR="00B061D7">
        <w:fldChar w:fldCharType="end"/>
      </w:r>
      <w:r>
        <w:t xml:space="preserve"> Κατανομή της ύπαρξης αδελφών και της σειράς γέννησης του δείγματος</w:t>
      </w:r>
      <w:bookmarkEnd w:id="43"/>
    </w:p>
    <w:tbl>
      <w:tblPr>
        <w:tblW w:w="6294" w:type="dxa"/>
        <w:jc w:val="center"/>
        <w:tblBorders>
          <w:top w:val="single" w:sz="4" w:space="0" w:color="000001"/>
          <w:bottom w:val="single" w:sz="4" w:space="0" w:color="000001"/>
          <w:insideH w:val="single" w:sz="4" w:space="0" w:color="000001"/>
        </w:tblBorders>
        <w:tblLook w:val="04A0"/>
      </w:tblPr>
      <w:tblGrid>
        <w:gridCol w:w="2351"/>
        <w:gridCol w:w="1758"/>
        <w:gridCol w:w="1205"/>
        <w:gridCol w:w="980"/>
      </w:tblGrid>
      <w:tr w:rsidR="001B3514">
        <w:trPr>
          <w:trHeight w:val="265"/>
          <w:jc w:val="center"/>
        </w:trPr>
        <w:tc>
          <w:tcPr>
            <w:tcW w:w="4108" w:type="dxa"/>
            <w:gridSpan w:val="2"/>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w:t>
            </w:r>
          </w:p>
        </w:tc>
        <w:tc>
          <w:tcPr>
            <w:tcW w:w="1205" w:type="dxa"/>
            <w:tcBorders>
              <w:top w:val="single" w:sz="4" w:space="0" w:color="000001"/>
              <w:bottom w:val="single" w:sz="4" w:space="0" w:color="000001"/>
            </w:tcBorders>
            <w:shd w:val="clear" w:color="auto" w:fill="auto"/>
            <w:vAlign w:val="bottom"/>
          </w:tcPr>
          <w:p w:rsidR="001B3514" w:rsidRDefault="00782E3E">
            <w:pPr>
              <w:pStyle w:val="ad"/>
              <w:rPr>
                <w:lang w:eastAsia="el-GR"/>
              </w:rPr>
            </w:pPr>
            <w:r>
              <w:rPr>
                <w:lang w:eastAsia="el-GR"/>
              </w:rPr>
              <w:t>Ν</w:t>
            </w:r>
          </w:p>
        </w:tc>
        <w:tc>
          <w:tcPr>
            <w:tcW w:w="980" w:type="dxa"/>
            <w:tcBorders>
              <w:top w:val="single" w:sz="4" w:space="0" w:color="000001"/>
              <w:bottom w:val="single" w:sz="4" w:space="0" w:color="000001"/>
            </w:tcBorders>
            <w:shd w:val="clear" w:color="auto" w:fill="auto"/>
            <w:vAlign w:val="bottom"/>
          </w:tcPr>
          <w:p w:rsidR="001B3514" w:rsidRDefault="00782E3E">
            <w:pPr>
              <w:pStyle w:val="ad"/>
              <w:rPr>
                <w:lang w:eastAsia="el-GR"/>
              </w:rPr>
            </w:pPr>
            <w:r>
              <w:rPr>
                <w:lang w:eastAsia="el-GR"/>
              </w:rPr>
              <w:t xml:space="preserve"> %</w:t>
            </w:r>
          </w:p>
        </w:tc>
      </w:tr>
      <w:tr w:rsidR="001B3514">
        <w:trPr>
          <w:trHeight w:val="265"/>
          <w:jc w:val="center"/>
        </w:trPr>
        <w:tc>
          <w:tcPr>
            <w:tcW w:w="235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Έχετε αδέρφια;</w:t>
            </w:r>
          </w:p>
        </w:tc>
        <w:tc>
          <w:tcPr>
            <w:tcW w:w="175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Ναι</w:t>
            </w:r>
          </w:p>
        </w:tc>
        <w:tc>
          <w:tcPr>
            <w:tcW w:w="1205" w:type="dxa"/>
            <w:tcBorders>
              <w:top w:val="single" w:sz="4" w:space="0" w:color="000001"/>
              <w:bottom w:val="single" w:sz="4" w:space="0" w:color="000001"/>
            </w:tcBorders>
            <w:shd w:val="clear" w:color="auto" w:fill="auto"/>
            <w:vAlign w:val="bottom"/>
          </w:tcPr>
          <w:p w:rsidR="001B3514" w:rsidRDefault="00782E3E">
            <w:pPr>
              <w:pStyle w:val="ad"/>
              <w:rPr>
                <w:lang w:eastAsia="el-GR"/>
              </w:rPr>
            </w:pPr>
            <w:r>
              <w:rPr>
                <w:lang w:eastAsia="el-GR"/>
              </w:rPr>
              <w:t>88</w:t>
            </w:r>
          </w:p>
        </w:tc>
        <w:tc>
          <w:tcPr>
            <w:tcW w:w="980" w:type="dxa"/>
            <w:tcBorders>
              <w:top w:val="single" w:sz="4" w:space="0" w:color="000001"/>
              <w:bottom w:val="single" w:sz="4" w:space="0" w:color="000001"/>
            </w:tcBorders>
            <w:shd w:val="clear" w:color="auto" w:fill="auto"/>
            <w:vAlign w:val="bottom"/>
          </w:tcPr>
          <w:p w:rsidR="001B3514" w:rsidRDefault="00782E3E">
            <w:pPr>
              <w:pStyle w:val="ad"/>
              <w:rPr>
                <w:lang w:eastAsia="el-GR"/>
              </w:rPr>
            </w:pPr>
            <w:r>
              <w:rPr>
                <w:lang w:eastAsia="el-GR"/>
              </w:rPr>
              <w:t>88.0%</w:t>
            </w:r>
          </w:p>
        </w:tc>
      </w:tr>
      <w:tr w:rsidR="001B3514">
        <w:trPr>
          <w:trHeight w:val="265"/>
          <w:jc w:val="center"/>
        </w:trPr>
        <w:tc>
          <w:tcPr>
            <w:tcW w:w="235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75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Όχι</w:t>
            </w:r>
          </w:p>
        </w:tc>
        <w:tc>
          <w:tcPr>
            <w:tcW w:w="1205" w:type="dxa"/>
            <w:tcBorders>
              <w:top w:val="single" w:sz="4" w:space="0" w:color="000001"/>
              <w:bottom w:val="single" w:sz="4" w:space="0" w:color="000001"/>
            </w:tcBorders>
            <w:shd w:val="clear" w:color="auto" w:fill="auto"/>
            <w:vAlign w:val="bottom"/>
          </w:tcPr>
          <w:p w:rsidR="001B3514" w:rsidRDefault="00782E3E">
            <w:pPr>
              <w:pStyle w:val="ad"/>
              <w:rPr>
                <w:lang w:eastAsia="el-GR"/>
              </w:rPr>
            </w:pPr>
            <w:r>
              <w:rPr>
                <w:lang w:eastAsia="el-GR"/>
              </w:rPr>
              <w:t>12</w:t>
            </w:r>
          </w:p>
        </w:tc>
        <w:tc>
          <w:tcPr>
            <w:tcW w:w="980" w:type="dxa"/>
            <w:tcBorders>
              <w:top w:val="single" w:sz="4" w:space="0" w:color="000001"/>
              <w:bottom w:val="single" w:sz="4" w:space="0" w:color="000001"/>
            </w:tcBorders>
            <w:shd w:val="clear" w:color="auto" w:fill="auto"/>
            <w:vAlign w:val="bottom"/>
          </w:tcPr>
          <w:p w:rsidR="001B3514" w:rsidRDefault="00782E3E">
            <w:pPr>
              <w:pStyle w:val="ad"/>
              <w:rPr>
                <w:lang w:eastAsia="el-GR"/>
              </w:rPr>
            </w:pPr>
            <w:r>
              <w:rPr>
                <w:lang w:eastAsia="el-GR"/>
              </w:rPr>
              <w:t>12.0%</w:t>
            </w:r>
          </w:p>
        </w:tc>
      </w:tr>
      <w:tr w:rsidR="001B3514">
        <w:trPr>
          <w:trHeight w:val="265"/>
          <w:jc w:val="center"/>
        </w:trPr>
        <w:tc>
          <w:tcPr>
            <w:tcW w:w="2350"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 </w:t>
            </w:r>
          </w:p>
        </w:tc>
        <w:tc>
          <w:tcPr>
            <w:tcW w:w="1758"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Σύνολο</w:t>
            </w:r>
          </w:p>
        </w:tc>
        <w:tc>
          <w:tcPr>
            <w:tcW w:w="1205" w:type="dxa"/>
            <w:tcBorders>
              <w:top w:val="single" w:sz="4" w:space="0" w:color="00000A"/>
              <w:bottom w:val="single" w:sz="4" w:space="0" w:color="00000A"/>
            </w:tcBorders>
            <w:shd w:val="clear" w:color="auto" w:fill="auto"/>
            <w:vAlign w:val="bottom"/>
          </w:tcPr>
          <w:p w:rsidR="001B3514" w:rsidRDefault="00782E3E">
            <w:pPr>
              <w:pStyle w:val="ad"/>
              <w:rPr>
                <w:lang w:eastAsia="el-GR"/>
              </w:rPr>
            </w:pPr>
            <w:r>
              <w:rPr>
                <w:lang w:eastAsia="el-GR"/>
              </w:rPr>
              <w:t>100</w:t>
            </w:r>
          </w:p>
        </w:tc>
        <w:tc>
          <w:tcPr>
            <w:tcW w:w="980" w:type="dxa"/>
            <w:tcBorders>
              <w:top w:val="single" w:sz="4" w:space="0" w:color="00000A"/>
              <w:bottom w:val="single" w:sz="4" w:space="0" w:color="00000A"/>
            </w:tcBorders>
            <w:shd w:val="clear" w:color="auto" w:fill="auto"/>
            <w:vAlign w:val="bottom"/>
          </w:tcPr>
          <w:p w:rsidR="001B3514" w:rsidRDefault="00782E3E">
            <w:pPr>
              <w:pStyle w:val="ad"/>
              <w:rPr>
                <w:lang w:eastAsia="el-GR"/>
              </w:rPr>
            </w:pPr>
            <w:r>
              <w:rPr>
                <w:lang w:eastAsia="el-GR"/>
              </w:rPr>
              <w:t>100.0%</w:t>
            </w:r>
          </w:p>
        </w:tc>
      </w:tr>
      <w:tr w:rsidR="001B3514">
        <w:trPr>
          <w:trHeight w:val="265"/>
          <w:jc w:val="center"/>
        </w:trPr>
        <w:tc>
          <w:tcPr>
            <w:tcW w:w="235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Έχετε αδερφή;</w:t>
            </w:r>
          </w:p>
        </w:tc>
        <w:tc>
          <w:tcPr>
            <w:tcW w:w="175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Ναι</w:t>
            </w:r>
          </w:p>
        </w:tc>
        <w:tc>
          <w:tcPr>
            <w:tcW w:w="1205" w:type="dxa"/>
            <w:tcBorders>
              <w:top w:val="single" w:sz="4" w:space="0" w:color="000001"/>
              <w:bottom w:val="single" w:sz="4" w:space="0" w:color="000001"/>
            </w:tcBorders>
            <w:shd w:val="clear" w:color="auto" w:fill="auto"/>
            <w:vAlign w:val="bottom"/>
          </w:tcPr>
          <w:p w:rsidR="001B3514" w:rsidRDefault="00782E3E">
            <w:pPr>
              <w:pStyle w:val="ad"/>
              <w:rPr>
                <w:lang w:eastAsia="el-GR"/>
              </w:rPr>
            </w:pPr>
            <w:r>
              <w:rPr>
                <w:lang w:eastAsia="el-GR"/>
              </w:rPr>
              <w:t>62</w:t>
            </w:r>
          </w:p>
        </w:tc>
        <w:tc>
          <w:tcPr>
            <w:tcW w:w="980" w:type="dxa"/>
            <w:tcBorders>
              <w:top w:val="single" w:sz="4" w:space="0" w:color="000001"/>
              <w:bottom w:val="single" w:sz="4" w:space="0" w:color="000001"/>
            </w:tcBorders>
            <w:shd w:val="clear" w:color="auto" w:fill="auto"/>
            <w:vAlign w:val="bottom"/>
          </w:tcPr>
          <w:p w:rsidR="001B3514" w:rsidRDefault="00782E3E">
            <w:pPr>
              <w:pStyle w:val="ad"/>
              <w:rPr>
                <w:lang w:eastAsia="el-GR"/>
              </w:rPr>
            </w:pPr>
            <w:r>
              <w:rPr>
                <w:lang w:eastAsia="el-GR"/>
              </w:rPr>
              <w:t>71.3%</w:t>
            </w:r>
          </w:p>
        </w:tc>
      </w:tr>
      <w:tr w:rsidR="001B3514">
        <w:trPr>
          <w:trHeight w:val="265"/>
          <w:jc w:val="center"/>
        </w:trPr>
        <w:tc>
          <w:tcPr>
            <w:tcW w:w="235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75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Όχι</w:t>
            </w:r>
          </w:p>
        </w:tc>
        <w:tc>
          <w:tcPr>
            <w:tcW w:w="1205" w:type="dxa"/>
            <w:tcBorders>
              <w:top w:val="single" w:sz="4" w:space="0" w:color="000001"/>
              <w:bottom w:val="single" w:sz="4" w:space="0" w:color="000001"/>
            </w:tcBorders>
            <w:shd w:val="clear" w:color="auto" w:fill="auto"/>
            <w:vAlign w:val="bottom"/>
          </w:tcPr>
          <w:p w:rsidR="001B3514" w:rsidRDefault="00782E3E">
            <w:pPr>
              <w:pStyle w:val="ad"/>
              <w:rPr>
                <w:lang w:eastAsia="el-GR"/>
              </w:rPr>
            </w:pPr>
            <w:r>
              <w:rPr>
                <w:lang w:eastAsia="el-GR"/>
              </w:rPr>
              <w:t>25</w:t>
            </w:r>
          </w:p>
        </w:tc>
        <w:tc>
          <w:tcPr>
            <w:tcW w:w="980" w:type="dxa"/>
            <w:tcBorders>
              <w:top w:val="single" w:sz="4" w:space="0" w:color="000001"/>
              <w:bottom w:val="single" w:sz="4" w:space="0" w:color="000001"/>
            </w:tcBorders>
            <w:shd w:val="clear" w:color="auto" w:fill="auto"/>
            <w:vAlign w:val="bottom"/>
          </w:tcPr>
          <w:p w:rsidR="001B3514" w:rsidRDefault="00782E3E">
            <w:pPr>
              <w:pStyle w:val="ad"/>
              <w:rPr>
                <w:lang w:eastAsia="el-GR"/>
              </w:rPr>
            </w:pPr>
            <w:r>
              <w:rPr>
                <w:lang w:eastAsia="el-GR"/>
              </w:rPr>
              <w:t>28.7%</w:t>
            </w:r>
          </w:p>
        </w:tc>
      </w:tr>
      <w:tr w:rsidR="001B3514">
        <w:trPr>
          <w:trHeight w:val="265"/>
          <w:jc w:val="center"/>
        </w:trPr>
        <w:tc>
          <w:tcPr>
            <w:tcW w:w="2350"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 </w:t>
            </w:r>
          </w:p>
        </w:tc>
        <w:tc>
          <w:tcPr>
            <w:tcW w:w="1758"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Σύνολο</w:t>
            </w:r>
          </w:p>
        </w:tc>
        <w:tc>
          <w:tcPr>
            <w:tcW w:w="1205" w:type="dxa"/>
            <w:tcBorders>
              <w:top w:val="single" w:sz="4" w:space="0" w:color="00000A"/>
              <w:bottom w:val="single" w:sz="4" w:space="0" w:color="00000A"/>
            </w:tcBorders>
            <w:shd w:val="clear" w:color="auto" w:fill="auto"/>
            <w:vAlign w:val="bottom"/>
          </w:tcPr>
          <w:p w:rsidR="001B3514" w:rsidRDefault="00782E3E">
            <w:pPr>
              <w:pStyle w:val="ad"/>
              <w:rPr>
                <w:lang w:eastAsia="el-GR"/>
              </w:rPr>
            </w:pPr>
            <w:r>
              <w:rPr>
                <w:lang w:eastAsia="el-GR"/>
              </w:rPr>
              <w:t>87</w:t>
            </w:r>
          </w:p>
        </w:tc>
        <w:tc>
          <w:tcPr>
            <w:tcW w:w="980" w:type="dxa"/>
            <w:tcBorders>
              <w:top w:val="single" w:sz="4" w:space="0" w:color="00000A"/>
              <w:bottom w:val="single" w:sz="4" w:space="0" w:color="00000A"/>
            </w:tcBorders>
            <w:shd w:val="clear" w:color="auto" w:fill="auto"/>
            <w:vAlign w:val="bottom"/>
          </w:tcPr>
          <w:p w:rsidR="001B3514" w:rsidRDefault="00782E3E">
            <w:pPr>
              <w:pStyle w:val="ad"/>
              <w:rPr>
                <w:lang w:eastAsia="el-GR"/>
              </w:rPr>
            </w:pPr>
            <w:r>
              <w:rPr>
                <w:lang w:eastAsia="el-GR"/>
              </w:rPr>
              <w:t>100.0%</w:t>
            </w:r>
          </w:p>
        </w:tc>
      </w:tr>
      <w:tr w:rsidR="001B3514">
        <w:trPr>
          <w:trHeight w:val="265"/>
          <w:jc w:val="center"/>
        </w:trPr>
        <w:tc>
          <w:tcPr>
            <w:tcW w:w="235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Έχετε αδερφό;</w:t>
            </w:r>
          </w:p>
        </w:tc>
        <w:tc>
          <w:tcPr>
            <w:tcW w:w="175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Ναι</w:t>
            </w:r>
          </w:p>
        </w:tc>
        <w:tc>
          <w:tcPr>
            <w:tcW w:w="1205" w:type="dxa"/>
            <w:tcBorders>
              <w:top w:val="single" w:sz="4" w:space="0" w:color="000001"/>
              <w:bottom w:val="single" w:sz="4" w:space="0" w:color="000001"/>
            </w:tcBorders>
            <w:shd w:val="clear" w:color="auto" w:fill="auto"/>
            <w:vAlign w:val="bottom"/>
          </w:tcPr>
          <w:p w:rsidR="001B3514" w:rsidRDefault="00782E3E">
            <w:pPr>
              <w:pStyle w:val="ad"/>
              <w:rPr>
                <w:lang w:eastAsia="el-GR"/>
              </w:rPr>
            </w:pPr>
            <w:r>
              <w:rPr>
                <w:lang w:eastAsia="el-GR"/>
              </w:rPr>
              <w:t>53</w:t>
            </w:r>
          </w:p>
        </w:tc>
        <w:tc>
          <w:tcPr>
            <w:tcW w:w="980" w:type="dxa"/>
            <w:tcBorders>
              <w:top w:val="single" w:sz="4" w:space="0" w:color="000001"/>
              <w:bottom w:val="single" w:sz="4" w:space="0" w:color="000001"/>
            </w:tcBorders>
            <w:shd w:val="clear" w:color="auto" w:fill="auto"/>
            <w:vAlign w:val="bottom"/>
          </w:tcPr>
          <w:p w:rsidR="001B3514" w:rsidRDefault="00782E3E">
            <w:pPr>
              <w:pStyle w:val="ad"/>
              <w:rPr>
                <w:lang w:eastAsia="el-GR"/>
              </w:rPr>
            </w:pPr>
            <w:r>
              <w:rPr>
                <w:lang w:eastAsia="el-GR"/>
              </w:rPr>
              <w:t>62.4%</w:t>
            </w:r>
          </w:p>
        </w:tc>
      </w:tr>
      <w:tr w:rsidR="001B3514">
        <w:trPr>
          <w:trHeight w:val="265"/>
          <w:jc w:val="center"/>
        </w:trPr>
        <w:tc>
          <w:tcPr>
            <w:tcW w:w="235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75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Όχι</w:t>
            </w:r>
          </w:p>
        </w:tc>
        <w:tc>
          <w:tcPr>
            <w:tcW w:w="1205" w:type="dxa"/>
            <w:tcBorders>
              <w:top w:val="single" w:sz="4" w:space="0" w:color="000001"/>
              <w:bottom w:val="single" w:sz="4" w:space="0" w:color="000001"/>
            </w:tcBorders>
            <w:shd w:val="clear" w:color="auto" w:fill="auto"/>
            <w:vAlign w:val="bottom"/>
          </w:tcPr>
          <w:p w:rsidR="001B3514" w:rsidRDefault="00782E3E">
            <w:pPr>
              <w:pStyle w:val="ad"/>
              <w:rPr>
                <w:lang w:eastAsia="el-GR"/>
              </w:rPr>
            </w:pPr>
            <w:r>
              <w:rPr>
                <w:lang w:eastAsia="el-GR"/>
              </w:rPr>
              <w:t>32</w:t>
            </w:r>
          </w:p>
        </w:tc>
        <w:tc>
          <w:tcPr>
            <w:tcW w:w="980" w:type="dxa"/>
            <w:tcBorders>
              <w:top w:val="single" w:sz="4" w:space="0" w:color="000001"/>
              <w:bottom w:val="single" w:sz="4" w:space="0" w:color="000001"/>
            </w:tcBorders>
            <w:shd w:val="clear" w:color="auto" w:fill="auto"/>
            <w:vAlign w:val="bottom"/>
          </w:tcPr>
          <w:p w:rsidR="001B3514" w:rsidRDefault="00782E3E">
            <w:pPr>
              <w:pStyle w:val="ad"/>
              <w:rPr>
                <w:lang w:eastAsia="el-GR"/>
              </w:rPr>
            </w:pPr>
            <w:r>
              <w:rPr>
                <w:lang w:eastAsia="el-GR"/>
              </w:rPr>
              <w:t>37.6%</w:t>
            </w:r>
          </w:p>
        </w:tc>
      </w:tr>
      <w:tr w:rsidR="001B3514">
        <w:trPr>
          <w:trHeight w:val="265"/>
          <w:jc w:val="center"/>
        </w:trPr>
        <w:tc>
          <w:tcPr>
            <w:tcW w:w="2350"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 </w:t>
            </w:r>
          </w:p>
        </w:tc>
        <w:tc>
          <w:tcPr>
            <w:tcW w:w="1758"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Σύνολο</w:t>
            </w:r>
          </w:p>
        </w:tc>
        <w:tc>
          <w:tcPr>
            <w:tcW w:w="1205" w:type="dxa"/>
            <w:tcBorders>
              <w:top w:val="single" w:sz="4" w:space="0" w:color="00000A"/>
              <w:bottom w:val="single" w:sz="4" w:space="0" w:color="00000A"/>
            </w:tcBorders>
            <w:shd w:val="clear" w:color="auto" w:fill="auto"/>
            <w:vAlign w:val="bottom"/>
          </w:tcPr>
          <w:p w:rsidR="001B3514" w:rsidRDefault="00782E3E">
            <w:pPr>
              <w:pStyle w:val="ad"/>
              <w:rPr>
                <w:lang w:eastAsia="el-GR"/>
              </w:rPr>
            </w:pPr>
            <w:r>
              <w:rPr>
                <w:lang w:eastAsia="el-GR"/>
              </w:rPr>
              <w:t>85</w:t>
            </w:r>
          </w:p>
        </w:tc>
        <w:tc>
          <w:tcPr>
            <w:tcW w:w="980" w:type="dxa"/>
            <w:tcBorders>
              <w:top w:val="single" w:sz="4" w:space="0" w:color="00000A"/>
              <w:bottom w:val="single" w:sz="4" w:space="0" w:color="00000A"/>
            </w:tcBorders>
            <w:shd w:val="clear" w:color="auto" w:fill="auto"/>
            <w:vAlign w:val="bottom"/>
          </w:tcPr>
          <w:p w:rsidR="001B3514" w:rsidRDefault="00782E3E">
            <w:pPr>
              <w:pStyle w:val="ad"/>
              <w:rPr>
                <w:lang w:eastAsia="el-GR"/>
              </w:rPr>
            </w:pPr>
            <w:r>
              <w:rPr>
                <w:lang w:eastAsia="el-GR"/>
              </w:rPr>
              <w:t>100.0%</w:t>
            </w:r>
          </w:p>
        </w:tc>
      </w:tr>
      <w:tr w:rsidR="001B3514">
        <w:trPr>
          <w:trHeight w:val="265"/>
          <w:jc w:val="center"/>
        </w:trPr>
        <w:tc>
          <w:tcPr>
            <w:tcW w:w="235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Σειρά γέννησής σας:</w:t>
            </w:r>
          </w:p>
        </w:tc>
        <w:tc>
          <w:tcPr>
            <w:tcW w:w="175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w:t>
            </w:r>
          </w:p>
        </w:tc>
        <w:tc>
          <w:tcPr>
            <w:tcW w:w="1205" w:type="dxa"/>
            <w:tcBorders>
              <w:top w:val="single" w:sz="4" w:space="0" w:color="000001"/>
              <w:bottom w:val="single" w:sz="4" w:space="0" w:color="000001"/>
            </w:tcBorders>
            <w:shd w:val="clear" w:color="auto" w:fill="auto"/>
            <w:vAlign w:val="bottom"/>
          </w:tcPr>
          <w:p w:rsidR="001B3514" w:rsidRDefault="00782E3E">
            <w:pPr>
              <w:pStyle w:val="ad"/>
              <w:rPr>
                <w:lang w:eastAsia="el-GR"/>
              </w:rPr>
            </w:pPr>
            <w:r>
              <w:rPr>
                <w:lang w:eastAsia="el-GR"/>
              </w:rPr>
              <w:t>34</w:t>
            </w:r>
          </w:p>
        </w:tc>
        <w:tc>
          <w:tcPr>
            <w:tcW w:w="980" w:type="dxa"/>
            <w:tcBorders>
              <w:top w:val="single" w:sz="4" w:space="0" w:color="000001"/>
              <w:bottom w:val="single" w:sz="4" w:space="0" w:color="000001"/>
            </w:tcBorders>
            <w:shd w:val="clear" w:color="auto" w:fill="auto"/>
            <w:vAlign w:val="bottom"/>
          </w:tcPr>
          <w:p w:rsidR="001B3514" w:rsidRDefault="00782E3E">
            <w:pPr>
              <w:pStyle w:val="ad"/>
              <w:rPr>
                <w:lang w:eastAsia="el-GR"/>
              </w:rPr>
            </w:pPr>
            <w:r>
              <w:rPr>
                <w:lang w:eastAsia="el-GR"/>
              </w:rPr>
              <w:t>38.6%</w:t>
            </w:r>
          </w:p>
        </w:tc>
      </w:tr>
      <w:tr w:rsidR="001B3514">
        <w:trPr>
          <w:trHeight w:val="265"/>
          <w:jc w:val="center"/>
        </w:trPr>
        <w:tc>
          <w:tcPr>
            <w:tcW w:w="235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75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w:t>
            </w:r>
          </w:p>
        </w:tc>
        <w:tc>
          <w:tcPr>
            <w:tcW w:w="1205" w:type="dxa"/>
            <w:tcBorders>
              <w:top w:val="single" w:sz="4" w:space="0" w:color="000001"/>
              <w:bottom w:val="single" w:sz="4" w:space="0" w:color="000001"/>
            </w:tcBorders>
            <w:shd w:val="clear" w:color="auto" w:fill="auto"/>
            <w:vAlign w:val="bottom"/>
          </w:tcPr>
          <w:p w:rsidR="001B3514" w:rsidRDefault="00782E3E">
            <w:pPr>
              <w:pStyle w:val="ad"/>
              <w:rPr>
                <w:lang w:eastAsia="el-GR"/>
              </w:rPr>
            </w:pPr>
            <w:r>
              <w:rPr>
                <w:lang w:eastAsia="el-GR"/>
              </w:rPr>
              <w:t>37</w:t>
            </w:r>
          </w:p>
        </w:tc>
        <w:tc>
          <w:tcPr>
            <w:tcW w:w="980" w:type="dxa"/>
            <w:tcBorders>
              <w:top w:val="single" w:sz="4" w:space="0" w:color="000001"/>
              <w:bottom w:val="single" w:sz="4" w:space="0" w:color="000001"/>
            </w:tcBorders>
            <w:shd w:val="clear" w:color="auto" w:fill="auto"/>
            <w:vAlign w:val="bottom"/>
          </w:tcPr>
          <w:p w:rsidR="001B3514" w:rsidRDefault="00782E3E">
            <w:pPr>
              <w:pStyle w:val="ad"/>
              <w:rPr>
                <w:lang w:eastAsia="el-GR"/>
              </w:rPr>
            </w:pPr>
            <w:r>
              <w:rPr>
                <w:lang w:eastAsia="el-GR"/>
              </w:rPr>
              <w:t>42.0%</w:t>
            </w:r>
          </w:p>
        </w:tc>
      </w:tr>
      <w:tr w:rsidR="001B3514">
        <w:trPr>
          <w:trHeight w:val="265"/>
          <w:jc w:val="center"/>
        </w:trPr>
        <w:tc>
          <w:tcPr>
            <w:tcW w:w="235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75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3</w:t>
            </w:r>
          </w:p>
        </w:tc>
        <w:tc>
          <w:tcPr>
            <w:tcW w:w="1205" w:type="dxa"/>
            <w:tcBorders>
              <w:top w:val="single" w:sz="4" w:space="0" w:color="000001"/>
              <w:bottom w:val="single" w:sz="4" w:space="0" w:color="000001"/>
            </w:tcBorders>
            <w:shd w:val="clear" w:color="auto" w:fill="auto"/>
            <w:vAlign w:val="bottom"/>
          </w:tcPr>
          <w:p w:rsidR="001B3514" w:rsidRDefault="00782E3E">
            <w:pPr>
              <w:pStyle w:val="ad"/>
              <w:rPr>
                <w:lang w:eastAsia="el-GR"/>
              </w:rPr>
            </w:pPr>
            <w:r>
              <w:rPr>
                <w:lang w:eastAsia="el-GR"/>
              </w:rPr>
              <w:t>11</w:t>
            </w:r>
          </w:p>
        </w:tc>
        <w:tc>
          <w:tcPr>
            <w:tcW w:w="980" w:type="dxa"/>
            <w:tcBorders>
              <w:top w:val="single" w:sz="4" w:space="0" w:color="000001"/>
              <w:bottom w:val="single" w:sz="4" w:space="0" w:color="000001"/>
            </w:tcBorders>
            <w:shd w:val="clear" w:color="auto" w:fill="auto"/>
            <w:vAlign w:val="bottom"/>
          </w:tcPr>
          <w:p w:rsidR="001B3514" w:rsidRDefault="00782E3E">
            <w:pPr>
              <w:pStyle w:val="ad"/>
              <w:rPr>
                <w:lang w:eastAsia="el-GR"/>
              </w:rPr>
            </w:pPr>
            <w:r>
              <w:rPr>
                <w:lang w:eastAsia="el-GR"/>
              </w:rPr>
              <w:t>12.5%</w:t>
            </w:r>
          </w:p>
        </w:tc>
      </w:tr>
      <w:tr w:rsidR="001B3514">
        <w:trPr>
          <w:trHeight w:val="265"/>
          <w:jc w:val="center"/>
        </w:trPr>
        <w:tc>
          <w:tcPr>
            <w:tcW w:w="235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75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4</w:t>
            </w:r>
          </w:p>
        </w:tc>
        <w:tc>
          <w:tcPr>
            <w:tcW w:w="1205" w:type="dxa"/>
            <w:tcBorders>
              <w:top w:val="single" w:sz="4" w:space="0" w:color="000001"/>
              <w:bottom w:val="single" w:sz="4" w:space="0" w:color="000001"/>
            </w:tcBorders>
            <w:shd w:val="clear" w:color="auto" w:fill="auto"/>
            <w:vAlign w:val="bottom"/>
          </w:tcPr>
          <w:p w:rsidR="001B3514" w:rsidRDefault="00782E3E">
            <w:pPr>
              <w:pStyle w:val="ad"/>
              <w:rPr>
                <w:lang w:eastAsia="el-GR"/>
              </w:rPr>
            </w:pPr>
            <w:r>
              <w:rPr>
                <w:lang w:eastAsia="el-GR"/>
              </w:rPr>
              <w:t>3</w:t>
            </w:r>
          </w:p>
        </w:tc>
        <w:tc>
          <w:tcPr>
            <w:tcW w:w="980" w:type="dxa"/>
            <w:tcBorders>
              <w:top w:val="single" w:sz="4" w:space="0" w:color="000001"/>
              <w:bottom w:val="single" w:sz="4" w:space="0" w:color="000001"/>
            </w:tcBorders>
            <w:shd w:val="clear" w:color="auto" w:fill="auto"/>
            <w:vAlign w:val="bottom"/>
          </w:tcPr>
          <w:p w:rsidR="001B3514" w:rsidRDefault="00782E3E">
            <w:pPr>
              <w:pStyle w:val="ad"/>
              <w:rPr>
                <w:lang w:eastAsia="el-GR"/>
              </w:rPr>
            </w:pPr>
            <w:r>
              <w:rPr>
                <w:lang w:eastAsia="el-GR"/>
              </w:rPr>
              <w:t>3.4%</w:t>
            </w:r>
          </w:p>
        </w:tc>
      </w:tr>
      <w:tr w:rsidR="001B3514">
        <w:trPr>
          <w:trHeight w:val="265"/>
          <w:jc w:val="center"/>
        </w:trPr>
        <w:tc>
          <w:tcPr>
            <w:tcW w:w="235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75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6</w:t>
            </w:r>
          </w:p>
        </w:tc>
        <w:tc>
          <w:tcPr>
            <w:tcW w:w="1205" w:type="dxa"/>
            <w:tcBorders>
              <w:top w:val="single" w:sz="4" w:space="0" w:color="000001"/>
              <w:bottom w:val="single" w:sz="4" w:space="0" w:color="000001"/>
            </w:tcBorders>
            <w:shd w:val="clear" w:color="auto" w:fill="auto"/>
            <w:vAlign w:val="bottom"/>
          </w:tcPr>
          <w:p w:rsidR="001B3514" w:rsidRDefault="00782E3E">
            <w:pPr>
              <w:pStyle w:val="ad"/>
              <w:rPr>
                <w:lang w:eastAsia="el-GR"/>
              </w:rPr>
            </w:pPr>
            <w:r>
              <w:rPr>
                <w:lang w:eastAsia="el-GR"/>
              </w:rPr>
              <w:t>2</w:t>
            </w:r>
          </w:p>
        </w:tc>
        <w:tc>
          <w:tcPr>
            <w:tcW w:w="980" w:type="dxa"/>
            <w:tcBorders>
              <w:top w:val="single" w:sz="4" w:space="0" w:color="000001"/>
              <w:bottom w:val="single" w:sz="4" w:space="0" w:color="000001"/>
            </w:tcBorders>
            <w:shd w:val="clear" w:color="auto" w:fill="auto"/>
            <w:vAlign w:val="bottom"/>
          </w:tcPr>
          <w:p w:rsidR="001B3514" w:rsidRDefault="00782E3E">
            <w:pPr>
              <w:pStyle w:val="ad"/>
              <w:rPr>
                <w:lang w:eastAsia="el-GR"/>
              </w:rPr>
            </w:pPr>
            <w:r>
              <w:rPr>
                <w:lang w:eastAsia="el-GR"/>
              </w:rPr>
              <w:t>2.3%</w:t>
            </w:r>
          </w:p>
        </w:tc>
      </w:tr>
      <w:tr w:rsidR="001B3514">
        <w:trPr>
          <w:trHeight w:val="265"/>
          <w:jc w:val="center"/>
        </w:trPr>
        <w:tc>
          <w:tcPr>
            <w:tcW w:w="235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75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8</w:t>
            </w:r>
          </w:p>
        </w:tc>
        <w:tc>
          <w:tcPr>
            <w:tcW w:w="1205" w:type="dxa"/>
            <w:tcBorders>
              <w:top w:val="single" w:sz="4" w:space="0" w:color="000001"/>
              <w:bottom w:val="single" w:sz="4" w:space="0" w:color="000001"/>
            </w:tcBorders>
            <w:shd w:val="clear" w:color="auto" w:fill="auto"/>
            <w:vAlign w:val="bottom"/>
          </w:tcPr>
          <w:p w:rsidR="001B3514" w:rsidRDefault="00782E3E">
            <w:pPr>
              <w:pStyle w:val="ad"/>
              <w:rPr>
                <w:lang w:eastAsia="el-GR"/>
              </w:rPr>
            </w:pPr>
            <w:r>
              <w:rPr>
                <w:lang w:eastAsia="el-GR"/>
              </w:rPr>
              <w:t>1</w:t>
            </w:r>
          </w:p>
        </w:tc>
        <w:tc>
          <w:tcPr>
            <w:tcW w:w="980" w:type="dxa"/>
            <w:tcBorders>
              <w:top w:val="single" w:sz="4" w:space="0" w:color="000001"/>
              <w:bottom w:val="single" w:sz="4" w:space="0" w:color="000001"/>
            </w:tcBorders>
            <w:shd w:val="clear" w:color="auto" w:fill="auto"/>
            <w:vAlign w:val="bottom"/>
          </w:tcPr>
          <w:p w:rsidR="001B3514" w:rsidRDefault="00782E3E">
            <w:pPr>
              <w:pStyle w:val="ad"/>
              <w:rPr>
                <w:lang w:eastAsia="el-GR"/>
              </w:rPr>
            </w:pPr>
            <w:r>
              <w:rPr>
                <w:lang w:eastAsia="el-GR"/>
              </w:rPr>
              <w:t>1.1%</w:t>
            </w:r>
          </w:p>
        </w:tc>
      </w:tr>
      <w:tr w:rsidR="001B3514">
        <w:trPr>
          <w:trHeight w:val="265"/>
          <w:jc w:val="center"/>
        </w:trPr>
        <w:tc>
          <w:tcPr>
            <w:tcW w:w="2350"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 </w:t>
            </w:r>
          </w:p>
        </w:tc>
        <w:tc>
          <w:tcPr>
            <w:tcW w:w="1758"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Σύνολο</w:t>
            </w:r>
          </w:p>
        </w:tc>
        <w:tc>
          <w:tcPr>
            <w:tcW w:w="1205" w:type="dxa"/>
            <w:tcBorders>
              <w:top w:val="single" w:sz="4" w:space="0" w:color="00000A"/>
              <w:bottom w:val="single" w:sz="4" w:space="0" w:color="00000A"/>
            </w:tcBorders>
            <w:shd w:val="clear" w:color="auto" w:fill="auto"/>
            <w:vAlign w:val="bottom"/>
          </w:tcPr>
          <w:p w:rsidR="001B3514" w:rsidRDefault="00782E3E">
            <w:pPr>
              <w:pStyle w:val="ad"/>
              <w:rPr>
                <w:lang w:eastAsia="el-GR"/>
              </w:rPr>
            </w:pPr>
            <w:r>
              <w:rPr>
                <w:lang w:eastAsia="el-GR"/>
              </w:rPr>
              <w:t>88</w:t>
            </w:r>
          </w:p>
        </w:tc>
        <w:tc>
          <w:tcPr>
            <w:tcW w:w="980" w:type="dxa"/>
            <w:tcBorders>
              <w:top w:val="single" w:sz="4" w:space="0" w:color="00000A"/>
              <w:bottom w:val="single" w:sz="4" w:space="0" w:color="00000A"/>
            </w:tcBorders>
            <w:shd w:val="clear" w:color="auto" w:fill="auto"/>
            <w:vAlign w:val="bottom"/>
          </w:tcPr>
          <w:p w:rsidR="001B3514" w:rsidRDefault="00782E3E">
            <w:pPr>
              <w:pStyle w:val="ad"/>
              <w:rPr>
                <w:lang w:eastAsia="el-GR"/>
              </w:rPr>
            </w:pPr>
            <w:r>
              <w:rPr>
                <w:lang w:eastAsia="el-GR"/>
              </w:rPr>
              <w:t>100.0%</w:t>
            </w:r>
          </w:p>
        </w:tc>
      </w:tr>
    </w:tbl>
    <w:p w:rsidR="001B3514" w:rsidRDefault="00782E3E">
      <w:pPr>
        <w:rPr>
          <w:lang w:eastAsia="zh-CN" w:bidi="hi-IN"/>
        </w:rPr>
      </w:pPr>
      <w:r>
        <w:rPr>
          <w:lang w:eastAsia="zh-CN" w:bidi="hi-IN"/>
        </w:rPr>
        <w:t>Αναφορικά με τον παραπάνω πίνακα στην ερώτηση «Έχετε αδέρφια;» 9 στους 10 συμμετέχοντες απάντησαν θετικά, στην ερώτηση «Έχετε αδερφή;», 7 στους 10 ερωτηθέντες απάντησαν θετικά, ενώ στην ερώτηση «Έχετε αδερφό;» 6 στους 10 ερωτηθέντες απάντησαν θετικά. Τέλος, στην ερώτηση σχετικά με τη σειρά γέννησής του δείγματος οι περισσότεροι από τους ερωτηθέντες απάντησαν πως η σειρά γέννησής τους είναι η δεύτερη (42%).</w:t>
      </w:r>
    </w:p>
    <w:p w:rsidR="001B3514" w:rsidRDefault="00782E3E">
      <w:pPr>
        <w:spacing w:line="259" w:lineRule="auto"/>
        <w:jc w:val="left"/>
        <w:rPr>
          <w:lang w:eastAsia="zh-CN" w:bidi="hi-IN"/>
        </w:rPr>
      </w:pPr>
      <w:r>
        <w:br w:type="page"/>
      </w:r>
    </w:p>
    <w:p w:rsidR="001B3514" w:rsidRDefault="00782E3E">
      <w:pPr>
        <w:pStyle w:val="aa"/>
        <w:keepNext/>
      </w:pPr>
      <w:bookmarkStart w:id="44" w:name="_Toc64641813"/>
      <w:r>
        <w:lastRenderedPageBreak/>
        <w:t xml:space="preserve">Πίνακας </w:t>
      </w:r>
      <w:r w:rsidR="00B061D7">
        <w:fldChar w:fldCharType="begin"/>
      </w:r>
      <w:r>
        <w:instrText>SEQ Πίνακας \* ARABIC</w:instrText>
      </w:r>
      <w:r w:rsidR="00B061D7">
        <w:fldChar w:fldCharType="separate"/>
      </w:r>
      <w:r w:rsidR="001D06AA">
        <w:rPr>
          <w:noProof/>
        </w:rPr>
        <w:t>6</w:t>
      </w:r>
      <w:r w:rsidR="00B061D7">
        <w:fldChar w:fldCharType="end"/>
      </w:r>
      <w:r>
        <w:t xml:space="preserve"> Κατανομή της ύπαρξης παιδιών και της ποιότητας σχέσεων με την οικογένεια</w:t>
      </w:r>
      <w:bookmarkEnd w:id="44"/>
    </w:p>
    <w:tbl>
      <w:tblPr>
        <w:tblW w:w="6219" w:type="dxa"/>
        <w:jc w:val="center"/>
        <w:tblBorders>
          <w:top w:val="single" w:sz="4" w:space="0" w:color="000001"/>
          <w:bottom w:val="single" w:sz="4" w:space="0" w:color="000001"/>
          <w:insideH w:val="single" w:sz="4" w:space="0" w:color="000001"/>
        </w:tblBorders>
        <w:tblLook w:val="04A0"/>
      </w:tblPr>
      <w:tblGrid>
        <w:gridCol w:w="2322"/>
        <w:gridCol w:w="1738"/>
        <w:gridCol w:w="1192"/>
        <w:gridCol w:w="967"/>
      </w:tblGrid>
      <w:tr w:rsidR="001B3514">
        <w:trPr>
          <w:trHeight w:val="270"/>
          <w:jc w:val="center"/>
        </w:trPr>
        <w:tc>
          <w:tcPr>
            <w:tcW w:w="4059" w:type="dxa"/>
            <w:gridSpan w:val="2"/>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w:t>
            </w:r>
          </w:p>
        </w:tc>
        <w:tc>
          <w:tcPr>
            <w:tcW w:w="1192" w:type="dxa"/>
            <w:tcBorders>
              <w:top w:val="single" w:sz="4" w:space="0" w:color="000001"/>
              <w:bottom w:val="single" w:sz="4" w:space="0" w:color="000001"/>
            </w:tcBorders>
            <w:shd w:val="clear" w:color="auto" w:fill="auto"/>
            <w:vAlign w:val="bottom"/>
          </w:tcPr>
          <w:p w:rsidR="001B3514" w:rsidRDefault="00782E3E">
            <w:pPr>
              <w:pStyle w:val="ad"/>
              <w:rPr>
                <w:lang w:eastAsia="el-GR"/>
              </w:rPr>
            </w:pPr>
            <w:r>
              <w:rPr>
                <w:lang w:eastAsia="el-GR"/>
              </w:rPr>
              <w:t>Ν</w:t>
            </w:r>
          </w:p>
        </w:tc>
        <w:tc>
          <w:tcPr>
            <w:tcW w:w="967" w:type="dxa"/>
            <w:tcBorders>
              <w:top w:val="single" w:sz="4" w:space="0" w:color="000001"/>
              <w:bottom w:val="single" w:sz="4" w:space="0" w:color="000001"/>
            </w:tcBorders>
            <w:shd w:val="clear" w:color="auto" w:fill="auto"/>
            <w:vAlign w:val="bottom"/>
          </w:tcPr>
          <w:p w:rsidR="001B3514" w:rsidRDefault="00782E3E">
            <w:pPr>
              <w:pStyle w:val="ad"/>
              <w:rPr>
                <w:lang w:eastAsia="el-GR"/>
              </w:rPr>
            </w:pPr>
            <w:r>
              <w:rPr>
                <w:lang w:eastAsia="el-GR"/>
              </w:rPr>
              <w:t xml:space="preserve"> %</w:t>
            </w:r>
          </w:p>
        </w:tc>
      </w:tr>
      <w:tr w:rsidR="001B3514">
        <w:trPr>
          <w:trHeight w:val="270"/>
          <w:jc w:val="center"/>
        </w:trPr>
        <w:tc>
          <w:tcPr>
            <w:tcW w:w="2322"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Έχετε καλές σχέσεις με τα αδέρφια σας;</w:t>
            </w:r>
          </w:p>
        </w:tc>
        <w:tc>
          <w:tcPr>
            <w:tcW w:w="173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Ναι</w:t>
            </w:r>
          </w:p>
        </w:tc>
        <w:tc>
          <w:tcPr>
            <w:tcW w:w="1191" w:type="dxa"/>
            <w:tcBorders>
              <w:top w:val="single" w:sz="4" w:space="0" w:color="000001"/>
              <w:bottom w:val="single" w:sz="4" w:space="0" w:color="000001"/>
            </w:tcBorders>
            <w:shd w:val="clear" w:color="auto" w:fill="auto"/>
            <w:vAlign w:val="bottom"/>
          </w:tcPr>
          <w:p w:rsidR="001B3514" w:rsidRDefault="00782E3E">
            <w:pPr>
              <w:pStyle w:val="ad"/>
              <w:rPr>
                <w:lang w:eastAsia="el-GR"/>
              </w:rPr>
            </w:pPr>
            <w:r>
              <w:rPr>
                <w:lang w:eastAsia="el-GR"/>
              </w:rPr>
              <w:t>78</w:t>
            </w:r>
          </w:p>
        </w:tc>
        <w:tc>
          <w:tcPr>
            <w:tcW w:w="967" w:type="dxa"/>
            <w:tcBorders>
              <w:top w:val="single" w:sz="4" w:space="0" w:color="000001"/>
              <w:bottom w:val="single" w:sz="4" w:space="0" w:color="000001"/>
            </w:tcBorders>
            <w:shd w:val="clear" w:color="auto" w:fill="auto"/>
            <w:vAlign w:val="bottom"/>
          </w:tcPr>
          <w:p w:rsidR="001B3514" w:rsidRDefault="00782E3E">
            <w:pPr>
              <w:pStyle w:val="ad"/>
              <w:rPr>
                <w:lang w:eastAsia="el-GR"/>
              </w:rPr>
            </w:pPr>
            <w:r>
              <w:rPr>
                <w:lang w:eastAsia="el-GR"/>
              </w:rPr>
              <w:t>88.6%</w:t>
            </w:r>
          </w:p>
        </w:tc>
      </w:tr>
      <w:tr w:rsidR="001B3514">
        <w:trPr>
          <w:trHeight w:val="270"/>
          <w:jc w:val="center"/>
        </w:trPr>
        <w:tc>
          <w:tcPr>
            <w:tcW w:w="2322"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73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Όχι</w:t>
            </w:r>
          </w:p>
        </w:tc>
        <w:tc>
          <w:tcPr>
            <w:tcW w:w="1191" w:type="dxa"/>
            <w:tcBorders>
              <w:top w:val="single" w:sz="4" w:space="0" w:color="000001"/>
              <w:bottom w:val="single" w:sz="4" w:space="0" w:color="000001"/>
            </w:tcBorders>
            <w:shd w:val="clear" w:color="auto" w:fill="auto"/>
            <w:vAlign w:val="bottom"/>
          </w:tcPr>
          <w:p w:rsidR="001B3514" w:rsidRDefault="00782E3E">
            <w:pPr>
              <w:pStyle w:val="ad"/>
              <w:rPr>
                <w:lang w:eastAsia="el-GR"/>
              </w:rPr>
            </w:pPr>
            <w:r>
              <w:rPr>
                <w:lang w:eastAsia="el-GR"/>
              </w:rPr>
              <w:t>5</w:t>
            </w:r>
          </w:p>
        </w:tc>
        <w:tc>
          <w:tcPr>
            <w:tcW w:w="967" w:type="dxa"/>
            <w:tcBorders>
              <w:top w:val="single" w:sz="4" w:space="0" w:color="000001"/>
              <w:bottom w:val="single" w:sz="4" w:space="0" w:color="000001"/>
            </w:tcBorders>
            <w:shd w:val="clear" w:color="auto" w:fill="auto"/>
            <w:vAlign w:val="bottom"/>
          </w:tcPr>
          <w:p w:rsidR="001B3514" w:rsidRDefault="00782E3E">
            <w:pPr>
              <w:pStyle w:val="ad"/>
              <w:rPr>
                <w:lang w:eastAsia="el-GR"/>
              </w:rPr>
            </w:pPr>
            <w:r>
              <w:rPr>
                <w:lang w:eastAsia="el-GR"/>
              </w:rPr>
              <w:t>5.7%</w:t>
            </w:r>
          </w:p>
        </w:tc>
      </w:tr>
      <w:tr w:rsidR="001B3514">
        <w:trPr>
          <w:trHeight w:val="270"/>
          <w:jc w:val="center"/>
        </w:trPr>
        <w:tc>
          <w:tcPr>
            <w:tcW w:w="2322"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73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Όχι με όλα</w:t>
            </w:r>
          </w:p>
        </w:tc>
        <w:tc>
          <w:tcPr>
            <w:tcW w:w="1191" w:type="dxa"/>
            <w:tcBorders>
              <w:top w:val="single" w:sz="4" w:space="0" w:color="000001"/>
              <w:bottom w:val="single" w:sz="4" w:space="0" w:color="000001"/>
            </w:tcBorders>
            <w:shd w:val="clear" w:color="auto" w:fill="auto"/>
            <w:vAlign w:val="bottom"/>
          </w:tcPr>
          <w:p w:rsidR="001B3514" w:rsidRDefault="00782E3E">
            <w:pPr>
              <w:pStyle w:val="ad"/>
              <w:rPr>
                <w:lang w:eastAsia="el-GR"/>
              </w:rPr>
            </w:pPr>
            <w:r>
              <w:rPr>
                <w:lang w:eastAsia="el-GR"/>
              </w:rPr>
              <w:t>5</w:t>
            </w:r>
          </w:p>
        </w:tc>
        <w:tc>
          <w:tcPr>
            <w:tcW w:w="967" w:type="dxa"/>
            <w:tcBorders>
              <w:top w:val="single" w:sz="4" w:space="0" w:color="000001"/>
              <w:bottom w:val="single" w:sz="4" w:space="0" w:color="000001"/>
            </w:tcBorders>
            <w:shd w:val="clear" w:color="auto" w:fill="auto"/>
            <w:vAlign w:val="bottom"/>
          </w:tcPr>
          <w:p w:rsidR="001B3514" w:rsidRDefault="00782E3E">
            <w:pPr>
              <w:pStyle w:val="ad"/>
              <w:rPr>
                <w:lang w:eastAsia="el-GR"/>
              </w:rPr>
            </w:pPr>
            <w:r>
              <w:rPr>
                <w:lang w:eastAsia="el-GR"/>
              </w:rPr>
              <w:t>5.7%</w:t>
            </w:r>
          </w:p>
        </w:tc>
      </w:tr>
      <w:tr w:rsidR="001B3514">
        <w:trPr>
          <w:trHeight w:val="270"/>
          <w:jc w:val="center"/>
        </w:trPr>
        <w:tc>
          <w:tcPr>
            <w:tcW w:w="2322"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 </w:t>
            </w:r>
          </w:p>
        </w:tc>
        <w:tc>
          <w:tcPr>
            <w:tcW w:w="1738"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Σύνολο</w:t>
            </w:r>
          </w:p>
        </w:tc>
        <w:tc>
          <w:tcPr>
            <w:tcW w:w="1191" w:type="dxa"/>
            <w:tcBorders>
              <w:top w:val="single" w:sz="4" w:space="0" w:color="00000A"/>
              <w:bottom w:val="single" w:sz="4" w:space="0" w:color="00000A"/>
            </w:tcBorders>
            <w:shd w:val="clear" w:color="auto" w:fill="auto"/>
            <w:vAlign w:val="bottom"/>
          </w:tcPr>
          <w:p w:rsidR="001B3514" w:rsidRDefault="00782E3E">
            <w:pPr>
              <w:pStyle w:val="ad"/>
              <w:rPr>
                <w:lang w:eastAsia="el-GR"/>
              </w:rPr>
            </w:pPr>
            <w:r>
              <w:rPr>
                <w:lang w:eastAsia="el-GR"/>
              </w:rPr>
              <w:t>88</w:t>
            </w:r>
          </w:p>
        </w:tc>
        <w:tc>
          <w:tcPr>
            <w:tcW w:w="967" w:type="dxa"/>
            <w:tcBorders>
              <w:top w:val="single" w:sz="4" w:space="0" w:color="00000A"/>
              <w:bottom w:val="single" w:sz="4" w:space="0" w:color="00000A"/>
            </w:tcBorders>
            <w:shd w:val="clear" w:color="auto" w:fill="auto"/>
            <w:vAlign w:val="bottom"/>
          </w:tcPr>
          <w:p w:rsidR="001B3514" w:rsidRDefault="00782E3E">
            <w:pPr>
              <w:pStyle w:val="ad"/>
              <w:rPr>
                <w:lang w:eastAsia="el-GR"/>
              </w:rPr>
            </w:pPr>
            <w:r>
              <w:rPr>
                <w:lang w:eastAsia="el-GR"/>
              </w:rPr>
              <w:t>100.0%</w:t>
            </w:r>
          </w:p>
        </w:tc>
      </w:tr>
      <w:tr w:rsidR="001B3514">
        <w:trPr>
          <w:trHeight w:val="270"/>
          <w:jc w:val="center"/>
        </w:trPr>
        <w:tc>
          <w:tcPr>
            <w:tcW w:w="2322"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Έχετε παιδιά;</w:t>
            </w:r>
          </w:p>
        </w:tc>
        <w:tc>
          <w:tcPr>
            <w:tcW w:w="173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Ναι</w:t>
            </w:r>
          </w:p>
        </w:tc>
        <w:tc>
          <w:tcPr>
            <w:tcW w:w="1191" w:type="dxa"/>
            <w:tcBorders>
              <w:top w:val="single" w:sz="4" w:space="0" w:color="000001"/>
              <w:bottom w:val="single" w:sz="4" w:space="0" w:color="000001"/>
            </w:tcBorders>
            <w:shd w:val="clear" w:color="auto" w:fill="auto"/>
            <w:vAlign w:val="bottom"/>
          </w:tcPr>
          <w:p w:rsidR="001B3514" w:rsidRDefault="00782E3E">
            <w:pPr>
              <w:pStyle w:val="ad"/>
              <w:rPr>
                <w:lang w:eastAsia="el-GR"/>
              </w:rPr>
            </w:pPr>
            <w:r>
              <w:rPr>
                <w:lang w:eastAsia="el-GR"/>
              </w:rPr>
              <w:t>82</w:t>
            </w:r>
          </w:p>
        </w:tc>
        <w:tc>
          <w:tcPr>
            <w:tcW w:w="967" w:type="dxa"/>
            <w:tcBorders>
              <w:top w:val="single" w:sz="4" w:space="0" w:color="000001"/>
              <w:bottom w:val="single" w:sz="4" w:space="0" w:color="000001"/>
            </w:tcBorders>
            <w:shd w:val="clear" w:color="auto" w:fill="auto"/>
            <w:vAlign w:val="bottom"/>
          </w:tcPr>
          <w:p w:rsidR="001B3514" w:rsidRDefault="00782E3E">
            <w:pPr>
              <w:pStyle w:val="ad"/>
              <w:rPr>
                <w:lang w:eastAsia="el-GR"/>
              </w:rPr>
            </w:pPr>
            <w:r>
              <w:rPr>
                <w:lang w:eastAsia="el-GR"/>
              </w:rPr>
              <w:t>82.0%</w:t>
            </w:r>
          </w:p>
        </w:tc>
      </w:tr>
      <w:tr w:rsidR="001B3514">
        <w:trPr>
          <w:trHeight w:val="270"/>
          <w:jc w:val="center"/>
        </w:trPr>
        <w:tc>
          <w:tcPr>
            <w:tcW w:w="2322"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73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Όχι</w:t>
            </w:r>
          </w:p>
        </w:tc>
        <w:tc>
          <w:tcPr>
            <w:tcW w:w="1191" w:type="dxa"/>
            <w:tcBorders>
              <w:top w:val="single" w:sz="4" w:space="0" w:color="000001"/>
              <w:bottom w:val="single" w:sz="4" w:space="0" w:color="000001"/>
            </w:tcBorders>
            <w:shd w:val="clear" w:color="auto" w:fill="auto"/>
            <w:vAlign w:val="bottom"/>
          </w:tcPr>
          <w:p w:rsidR="001B3514" w:rsidRDefault="00782E3E">
            <w:pPr>
              <w:pStyle w:val="ad"/>
              <w:rPr>
                <w:lang w:eastAsia="el-GR"/>
              </w:rPr>
            </w:pPr>
            <w:r>
              <w:rPr>
                <w:lang w:eastAsia="el-GR"/>
              </w:rPr>
              <w:t>18</w:t>
            </w:r>
          </w:p>
        </w:tc>
        <w:tc>
          <w:tcPr>
            <w:tcW w:w="967" w:type="dxa"/>
            <w:tcBorders>
              <w:top w:val="single" w:sz="4" w:space="0" w:color="000001"/>
              <w:bottom w:val="single" w:sz="4" w:space="0" w:color="000001"/>
            </w:tcBorders>
            <w:shd w:val="clear" w:color="auto" w:fill="auto"/>
            <w:vAlign w:val="bottom"/>
          </w:tcPr>
          <w:p w:rsidR="001B3514" w:rsidRDefault="00782E3E">
            <w:pPr>
              <w:pStyle w:val="ad"/>
              <w:rPr>
                <w:lang w:eastAsia="el-GR"/>
              </w:rPr>
            </w:pPr>
            <w:r>
              <w:rPr>
                <w:lang w:eastAsia="el-GR"/>
              </w:rPr>
              <w:t>18.0%</w:t>
            </w:r>
          </w:p>
        </w:tc>
      </w:tr>
      <w:tr w:rsidR="001B3514">
        <w:trPr>
          <w:trHeight w:val="270"/>
          <w:jc w:val="center"/>
        </w:trPr>
        <w:tc>
          <w:tcPr>
            <w:tcW w:w="2322"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 </w:t>
            </w:r>
          </w:p>
        </w:tc>
        <w:tc>
          <w:tcPr>
            <w:tcW w:w="1738"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Σύνολο</w:t>
            </w:r>
          </w:p>
        </w:tc>
        <w:tc>
          <w:tcPr>
            <w:tcW w:w="1191" w:type="dxa"/>
            <w:tcBorders>
              <w:top w:val="single" w:sz="4" w:space="0" w:color="00000A"/>
              <w:bottom w:val="single" w:sz="4" w:space="0" w:color="00000A"/>
            </w:tcBorders>
            <w:shd w:val="clear" w:color="auto" w:fill="auto"/>
            <w:vAlign w:val="bottom"/>
          </w:tcPr>
          <w:p w:rsidR="001B3514" w:rsidRDefault="00782E3E">
            <w:pPr>
              <w:pStyle w:val="ad"/>
              <w:rPr>
                <w:lang w:eastAsia="el-GR"/>
              </w:rPr>
            </w:pPr>
            <w:r>
              <w:rPr>
                <w:lang w:eastAsia="el-GR"/>
              </w:rPr>
              <w:t>100</w:t>
            </w:r>
          </w:p>
        </w:tc>
        <w:tc>
          <w:tcPr>
            <w:tcW w:w="967" w:type="dxa"/>
            <w:tcBorders>
              <w:top w:val="single" w:sz="4" w:space="0" w:color="00000A"/>
              <w:bottom w:val="single" w:sz="4" w:space="0" w:color="00000A"/>
            </w:tcBorders>
            <w:shd w:val="clear" w:color="auto" w:fill="auto"/>
            <w:vAlign w:val="bottom"/>
          </w:tcPr>
          <w:p w:rsidR="001B3514" w:rsidRDefault="00782E3E">
            <w:pPr>
              <w:pStyle w:val="ad"/>
              <w:rPr>
                <w:lang w:eastAsia="el-GR"/>
              </w:rPr>
            </w:pPr>
            <w:r>
              <w:rPr>
                <w:lang w:eastAsia="el-GR"/>
              </w:rPr>
              <w:t>100.0%</w:t>
            </w:r>
          </w:p>
        </w:tc>
      </w:tr>
      <w:tr w:rsidR="001B3514">
        <w:trPr>
          <w:trHeight w:val="270"/>
          <w:jc w:val="center"/>
        </w:trPr>
        <w:tc>
          <w:tcPr>
            <w:tcW w:w="2322"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Έχετε καλές σχέσεις με τα παιδιά σας;</w:t>
            </w:r>
          </w:p>
        </w:tc>
        <w:tc>
          <w:tcPr>
            <w:tcW w:w="173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Ναι</w:t>
            </w:r>
          </w:p>
        </w:tc>
        <w:tc>
          <w:tcPr>
            <w:tcW w:w="1191" w:type="dxa"/>
            <w:tcBorders>
              <w:top w:val="single" w:sz="4" w:space="0" w:color="000001"/>
              <w:bottom w:val="single" w:sz="4" w:space="0" w:color="000001"/>
            </w:tcBorders>
            <w:shd w:val="clear" w:color="auto" w:fill="auto"/>
            <w:vAlign w:val="bottom"/>
          </w:tcPr>
          <w:p w:rsidR="001B3514" w:rsidRDefault="00782E3E">
            <w:pPr>
              <w:pStyle w:val="ad"/>
              <w:rPr>
                <w:lang w:eastAsia="el-GR"/>
              </w:rPr>
            </w:pPr>
            <w:r>
              <w:rPr>
                <w:lang w:eastAsia="el-GR"/>
              </w:rPr>
              <w:t>77</w:t>
            </w:r>
          </w:p>
        </w:tc>
        <w:tc>
          <w:tcPr>
            <w:tcW w:w="967" w:type="dxa"/>
            <w:tcBorders>
              <w:top w:val="single" w:sz="4" w:space="0" w:color="000001"/>
              <w:bottom w:val="single" w:sz="4" w:space="0" w:color="000001"/>
            </w:tcBorders>
            <w:shd w:val="clear" w:color="auto" w:fill="auto"/>
            <w:vAlign w:val="bottom"/>
          </w:tcPr>
          <w:p w:rsidR="001B3514" w:rsidRDefault="00782E3E">
            <w:pPr>
              <w:pStyle w:val="ad"/>
              <w:rPr>
                <w:lang w:eastAsia="el-GR"/>
              </w:rPr>
            </w:pPr>
            <w:r>
              <w:rPr>
                <w:lang w:eastAsia="el-GR"/>
              </w:rPr>
              <w:t>93.9%</w:t>
            </w:r>
          </w:p>
        </w:tc>
      </w:tr>
      <w:tr w:rsidR="001B3514">
        <w:trPr>
          <w:trHeight w:val="270"/>
          <w:jc w:val="center"/>
        </w:trPr>
        <w:tc>
          <w:tcPr>
            <w:tcW w:w="2322"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73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Όχι</w:t>
            </w:r>
          </w:p>
        </w:tc>
        <w:tc>
          <w:tcPr>
            <w:tcW w:w="1191" w:type="dxa"/>
            <w:tcBorders>
              <w:top w:val="single" w:sz="4" w:space="0" w:color="000001"/>
              <w:bottom w:val="single" w:sz="4" w:space="0" w:color="000001"/>
            </w:tcBorders>
            <w:shd w:val="clear" w:color="auto" w:fill="auto"/>
            <w:vAlign w:val="bottom"/>
          </w:tcPr>
          <w:p w:rsidR="001B3514" w:rsidRDefault="00782E3E">
            <w:pPr>
              <w:pStyle w:val="ad"/>
              <w:rPr>
                <w:lang w:eastAsia="el-GR"/>
              </w:rPr>
            </w:pPr>
            <w:r>
              <w:rPr>
                <w:lang w:eastAsia="el-GR"/>
              </w:rPr>
              <w:t>1</w:t>
            </w:r>
          </w:p>
        </w:tc>
        <w:tc>
          <w:tcPr>
            <w:tcW w:w="967" w:type="dxa"/>
            <w:tcBorders>
              <w:top w:val="single" w:sz="4" w:space="0" w:color="000001"/>
              <w:bottom w:val="single" w:sz="4" w:space="0" w:color="000001"/>
            </w:tcBorders>
            <w:shd w:val="clear" w:color="auto" w:fill="auto"/>
            <w:vAlign w:val="bottom"/>
          </w:tcPr>
          <w:p w:rsidR="001B3514" w:rsidRDefault="00782E3E">
            <w:pPr>
              <w:pStyle w:val="ad"/>
              <w:rPr>
                <w:lang w:eastAsia="el-GR"/>
              </w:rPr>
            </w:pPr>
            <w:r>
              <w:rPr>
                <w:lang w:eastAsia="el-GR"/>
              </w:rPr>
              <w:t>1.2%</w:t>
            </w:r>
          </w:p>
        </w:tc>
      </w:tr>
      <w:tr w:rsidR="001B3514">
        <w:trPr>
          <w:trHeight w:val="270"/>
          <w:jc w:val="center"/>
        </w:trPr>
        <w:tc>
          <w:tcPr>
            <w:tcW w:w="2322"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73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Όχι με όλα</w:t>
            </w:r>
          </w:p>
        </w:tc>
        <w:tc>
          <w:tcPr>
            <w:tcW w:w="1191" w:type="dxa"/>
            <w:tcBorders>
              <w:top w:val="single" w:sz="4" w:space="0" w:color="000001"/>
              <w:bottom w:val="single" w:sz="4" w:space="0" w:color="000001"/>
            </w:tcBorders>
            <w:shd w:val="clear" w:color="auto" w:fill="auto"/>
            <w:vAlign w:val="bottom"/>
          </w:tcPr>
          <w:p w:rsidR="001B3514" w:rsidRDefault="00782E3E">
            <w:pPr>
              <w:pStyle w:val="ad"/>
              <w:rPr>
                <w:lang w:eastAsia="el-GR"/>
              </w:rPr>
            </w:pPr>
            <w:r>
              <w:rPr>
                <w:lang w:eastAsia="el-GR"/>
              </w:rPr>
              <w:t>4</w:t>
            </w:r>
          </w:p>
        </w:tc>
        <w:tc>
          <w:tcPr>
            <w:tcW w:w="967" w:type="dxa"/>
            <w:tcBorders>
              <w:top w:val="single" w:sz="4" w:space="0" w:color="000001"/>
              <w:bottom w:val="single" w:sz="4" w:space="0" w:color="000001"/>
            </w:tcBorders>
            <w:shd w:val="clear" w:color="auto" w:fill="auto"/>
            <w:vAlign w:val="bottom"/>
          </w:tcPr>
          <w:p w:rsidR="001B3514" w:rsidRDefault="00782E3E">
            <w:pPr>
              <w:pStyle w:val="ad"/>
              <w:rPr>
                <w:lang w:eastAsia="el-GR"/>
              </w:rPr>
            </w:pPr>
            <w:r>
              <w:rPr>
                <w:lang w:eastAsia="el-GR"/>
              </w:rPr>
              <w:t>4.9%</w:t>
            </w:r>
          </w:p>
        </w:tc>
      </w:tr>
      <w:tr w:rsidR="001B3514">
        <w:trPr>
          <w:trHeight w:val="270"/>
          <w:jc w:val="center"/>
        </w:trPr>
        <w:tc>
          <w:tcPr>
            <w:tcW w:w="2322"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 </w:t>
            </w:r>
          </w:p>
        </w:tc>
        <w:tc>
          <w:tcPr>
            <w:tcW w:w="1738"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Σύνολο</w:t>
            </w:r>
          </w:p>
        </w:tc>
        <w:tc>
          <w:tcPr>
            <w:tcW w:w="1191" w:type="dxa"/>
            <w:tcBorders>
              <w:top w:val="single" w:sz="4" w:space="0" w:color="00000A"/>
              <w:bottom w:val="single" w:sz="4" w:space="0" w:color="00000A"/>
            </w:tcBorders>
            <w:shd w:val="clear" w:color="auto" w:fill="auto"/>
            <w:vAlign w:val="bottom"/>
          </w:tcPr>
          <w:p w:rsidR="001B3514" w:rsidRDefault="00782E3E">
            <w:pPr>
              <w:pStyle w:val="ad"/>
              <w:rPr>
                <w:lang w:eastAsia="el-GR"/>
              </w:rPr>
            </w:pPr>
            <w:r>
              <w:rPr>
                <w:lang w:eastAsia="el-GR"/>
              </w:rPr>
              <w:t>82</w:t>
            </w:r>
          </w:p>
        </w:tc>
        <w:tc>
          <w:tcPr>
            <w:tcW w:w="967" w:type="dxa"/>
            <w:tcBorders>
              <w:top w:val="single" w:sz="4" w:space="0" w:color="00000A"/>
              <w:bottom w:val="single" w:sz="4" w:space="0" w:color="00000A"/>
            </w:tcBorders>
            <w:shd w:val="clear" w:color="auto" w:fill="auto"/>
            <w:vAlign w:val="bottom"/>
          </w:tcPr>
          <w:p w:rsidR="001B3514" w:rsidRDefault="00782E3E">
            <w:pPr>
              <w:pStyle w:val="ad"/>
              <w:rPr>
                <w:lang w:eastAsia="el-GR"/>
              </w:rPr>
            </w:pPr>
            <w:r>
              <w:rPr>
                <w:lang w:eastAsia="el-GR"/>
              </w:rPr>
              <w:t>100.0%</w:t>
            </w:r>
          </w:p>
        </w:tc>
      </w:tr>
      <w:tr w:rsidR="001B3514">
        <w:trPr>
          <w:trHeight w:val="270"/>
          <w:jc w:val="center"/>
        </w:trPr>
        <w:tc>
          <w:tcPr>
            <w:tcW w:w="2322"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Έχετε καλές σχέσεις με τους γονείς σας;</w:t>
            </w:r>
          </w:p>
        </w:tc>
        <w:tc>
          <w:tcPr>
            <w:tcW w:w="173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Ναι</w:t>
            </w:r>
          </w:p>
        </w:tc>
        <w:tc>
          <w:tcPr>
            <w:tcW w:w="1191" w:type="dxa"/>
            <w:tcBorders>
              <w:top w:val="single" w:sz="4" w:space="0" w:color="000001"/>
              <w:bottom w:val="single" w:sz="4" w:space="0" w:color="000001"/>
            </w:tcBorders>
            <w:shd w:val="clear" w:color="auto" w:fill="auto"/>
            <w:vAlign w:val="bottom"/>
          </w:tcPr>
          <w:p w:rsidR="001B3514" w:rsidRDefault="00782E3E">
            <w:pPr>
              <w:pStyle w:val="ad"/>
              <w:rPr>
                <w:lang w:eastAsia="el-GR"/>
              </w:rPr>
            </w:pPr>
            <w:r>
              <w:rPr>
                <w:lang w:eastAsia="el-GR"/>
              </w:rPr>
              <w:t>91</w:t>
            </w:r>
          </w:p>
        </w:tc>
        <w:tc>
          <w:tcPr>
            <w:tcW w:w="967" w:type="dxa"/>
            <w:tcBorders>
              <w:top w:val="single" w:sz="4" w:space="0" w:color="000001"/>
              <w:bottom w:val="single" w:sz="4" w:space="0" w:color="000001"/>
            </w:tcBorders>
            <w:shd w:val="clear" w:color="auto" w:fill="auto"/>
            <w:vAlign w:val="bottom"/>
          </w:tcPr>
          <w:p w:rsidR="001B3514" w:rsidRDefault="00782E3E">
            <w:pPr>
              <w:pStyle w:val="ad"/>
              <w:rPr>
                <w:lang w:eastAsia="el-GR"/>
              </w:rPr>
            </w:pPr>
            <w:r>
              <w:rPr>
                <w:lang w:eastAsia="el-GR"/>
              </w:rPr>
              <w:t>91.0%</w:t>
            </w:r>
          </w:p>
        </w:tc>
      </w:tr>
      <w:tr w:rsidR="001B3514">
        <w:trPr>
          <w:trHeight w:val="270"/>
          <w:jc w:val="center"/>
        </w:trPr>
        <w:tc>
          <w:tcPr>
            <w:tcW w:w="2322"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73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Όχι με τον πατέρα</w:t>
            </w:r>
          </w:p>
        </w:tc>
        <w:tc>
          <w:tcPr>
            <w:tcW w:w="1191" w:type="dxa"/>
            <w:tcBorders>
              <w:top w:val="single" w:sz="4" w:space="0" w:color="000001"/>
              <w:bottom w:val="single" w:sz="4" w:space="0" w:color="000001"/>
            </w:tcBorders>
            <w:shd w:val="clear" w:color="auto" w:fill="auto"/>
            <w:vAlign w:val="bottom"/>
          </w:tcPr>
          <w:p w:rsidR="001B3514" w:rsidRDefault="00782E3E">
            <w:pPr>
              <w:pStyle w:val="ad"/>
              <w:rPr>
                <w:lang w:eastAsia="el-GR"/>
              </w:rPr>
            </w:pPr>
            <w:r>
              <w:rPr>
                <w:lang w:eastAsia="el-GR"/>
              </w:rPr>
              <w:t>5</w:t>
            </w:r>
          </w:p>
        </w:tc>
        <w:tc>
          <w:tcPr>
            <w:tcW w:w="967" w:type="dxa"/>
            <w:tcBorders>
              <w:top w:val="single" w:sz="4" w:space="0" w:color="000001"/>
              <w:bottom w:val="single" w:sz="4" w:space="0" w:color="000001"/>
            </w:tcBorders>
            <w:shd w:val="clear" w:color="auto" w:fill="auto"/>
            <w:vAlign w:val="bottom"/>
          </w:tcPr>
          <w:p w:rsidR="001B3514" w:rsidRDefault="00782E3E">
            <w:pPr>
              <w:pStyle w:val="ad"/>
              <w:rPr>
                <w:lang w:eastAsia="el-GR"/>
              </w:rPr>
            </w:pPr>
            <w:r>
              <w:rPr>
                <w:lang w:eastAsia="el-GR"/>
              </w:rPr>
              <w:t>5.0%</w:t>
            </w:r>
          </w:p>
        </w:tc>
      </w:tr>
      <w:tr w:rsidR="001B3514">
        <w:trPr>
          <w:trHeight w:val="270"/>
          <w:jc w:val="center"/>
        </w:trPr>
        <w:tc>
          <w:tcPr>
            <w:tcW w:w="2322"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73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Όχι με την μητέρα</w:t>
            </w:r>
          </w:p>
        </w:tc>
        <w:tc>
          <w:tcPr>
            <w:tcW w:w="1191" w:type="dxa"/>
            <w:tcBorders>
              <w:top w:val="single" w:sz="4" w:space="0" w:color="000001"/>
              <w:bottom w:val="single" w:sz="4" w:space="0" w:color="000001"/>
            </w:tcBorders>
            <w:shd w:val="clear" w:color="auto" w:fill="auto"/>
            <w:vAlign w:val="bottom"/>
          </w:tcPr>
          <w:p w:rsidR="001B3514" w:rsidRDefault="00782E3E">
            <w:pPr>
              <w:pStyle w:val="ad"/>
              <w:rPr>
                <w:lang w:eastAsia="el-GR"/>
              </w:rPr>
            </w:pPr>
            <w:r>
              <w:rPr>
                <w:lang w:eastAsia="el-GR"/>
              </w:rPr>
              <w:t>4</w:t>
            </w:r>
          </w:p>
        </w:tc>
        <w:tc>
          <w:tcPr>
            <w:tcW w:w="967" w:type="dxa"/>
            <w:tcBorders>
              <w:top w:val="single" w:sz="4" w:space="0" w:color="000001"/>
              <w:bottom w:val="single" w:sz="4" w:space="0" w:color="000001"/>
            </w:tcBorders>
            <w:shd w:val="clear" w:color="auto" w:fill="auto"/>
            <w:vAlign w:val="bottom"/>
          </w:tcPr>
          <w:p w:rsidR="001B3514" w:rsidRDefault="00782E3E">
            <w:pPr>
              <w:pStyle w:val="ad"/>
              <w:rPr>
                <w:lang w:eastAsia="el-GR"/>
              </w:rPr>
            </w:pPr>
            <w:r>
              <w:rPr>
                <w:lang w:eastAsia="el-GR"/>
              </w:rPr>
              <w:t>4.0%</w:t>
            </w:r>
          </w:p>
        </w:tc>
      </w:tr>
      <w:tr w:rsidR="001B3514">
        <w:trPr>
          <w:trHeight w:val="270"/>
          <w:jc w:val="center"/>
        </w:trPr>
        <w:tc>
          <w:tcPr>
            <w:tcW w:w="2322"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 </w:t>
            </w:r>
          </w:p>
        </w:tc>
        <w:tc>
          <w:tcPr>
            <w:tcW w:w="1738"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Σύνολο</w:t>
            </w:r>
          </w:p>
        </w:tc>
        <w:tc>
          <w:tcPr>
            <w:tcW w:w="1191" w:type="dxa"/>
            <w:tcBorders>
              <w:top w:val="single" w:sz="4" w:space="0" w:color="00000A"/>
              <w:bottom w:val="single" w:sz="4" w:space="0" w:color="00000A"/>
            </w:tcBorders>
            <w:shd w:val="clear" w:color="auto" w:fill="auto"/>
            <w:vAlign w:val="bottom"/>
          </w:tcPr>
          <w:p w:rsidR="001B3514" w:rsidRDefault="00782E3E">
            <w:pPr>
              <w:pStyle w:val="ad"/>
              <w:rPr>
                <w:lang w:eastAsia="el-GR"/>
              </w:rPr>
            </w:pPr>
            <w:r>
              <w:rPr>
                <w:lang w:eastAsia="el-GR"/>
              </w:rPr>
              <w:t>100</w:t>
            </w:r>
          </w:p>
        </w:tc>
        <w:tc>
          <w:tcPr>
            <w:tcW w:w="967" w:type="dxa"/>
            <w:tcBorders>
              <w:top w:val="single" w:sz="4" w:space="0" w:color="00000A"/>
              <w:bottom w:val="single" w:sz="4" w:space="0" w:color="00000A"/>
            </w:tcBorders>
            <w:shd w:val="clear" w:color="auto" w:fill="auto"/>
            <w:vAlign w:val="bottom"/>
          </w:tcPr>
          <w:p w:rsidR="001B3514" w:rsidRDefault="00782E3E">
            <w:pPr>
              <w:pStyle w:val="ad"/>
              <w:rPr>
                <w:lang w:eastAsia="el-GR"/>
              </w:rPr>
            </w:pPr>
            <w:r>
              <w:rPr>
                <w:lang w:eastAsia="el-GR"/>
              </w:rPr>
              <w:t>100.0%</w:t>
            </w:r>
          </w:p>
        </w:tc>
      </w:tr>
    </w:tbl>
    <w:p w:rsidR="001B3514" w:rsidRDefault="00782E3E">
      <w:pPr>
        <w:rPr>
          <w:lang w:eastAsia="zh-CN" w:bidi="hi-IN"/>
        </w:rPr>
      </w:pPr>
      <w:r>
        <w:rPr>
          <w:lang w:eastAsia="zh-CN" w:bidi="hi-IN"/>
        </w:rPr>
        <w:t>Σχετικά με τον παραπάνω πίνακα στην ερώτηση «Έχετε καλές σχέσεις με τα αδέρφια σας;» 78 (88.6%) εκ των ερωτηθέντων απάντησε θετικά και 5 εκ των ερωτηθέντων απάντησαν πως δεν διατηρούν σχέσεις ή όχι με όλους συγκεντρώνοντας ποσοστό 5.7%. Στην ερώτηση «Έχετε παιδιά;» 82 (82) εκ των ερωτηθέντων του δείγματος απάντησαν θετικά και 18 (18%) έδωσαν αρνητική απάντηση. Στην ερώτηση «Έχετε καλές σχέσεις με τα παιδιά σας;» 77(93.9%) από τους συμμετέχοντες απάντησαν θετικά και μόνο ένας έδωσε αρνητική απάντηση συγκεντρώνοντας ποσοστό 1.2%. Στην ερώτηση «Έχετε καλές σχέσεις με τους γονείς σας;» 91 (91%) απάντησαν θετικά και 4 (4%) απάντησαν όχι με τη μητέρα.</w:t>
      </w:r>
    </w:p>
    <w:p w:rsidR="001B3514" w:rsidRDefault="00782E3E">
      <w:pPr>
        <w:spacing w:line="259" w:lineRule="auto"/>
        <w:jc w:val="left"/>
        <w:rPr>
          <w:lang w:eastAsia="zh-CN" w:bidi="hi-IN"/>
        </w:rPr>
      </w:pPr>
      <w:r>
        <w:br w:type="page"/>
      </w:r>
    </w:p>
    <w:p w:rsidR="001B3514" w:rsidRDefault="00782E3E">
      <w:pPr>
        <w:pStyle w:val="aa"/>
        <w:keepNext/>
      </w:pPr>
      <w:bookmarkStart w:id="45" w:name="_Toc64641814"/>
      <w:r>
        <w:lastRenderedPageBreak/>
        <w:t xml:space="preserve">Πίνακας </w:t>
      </w:r>
      <w:r w:rsidR="00B061D7">
        <w:fldChar w:fldCharType="begin"/>
      </w:r>
      <w:r>
        <w:instrText>SEQ Πίνακας \* ARABIC</w:instrText>
      </w:r>
      <w:r w:rsidR="00B061D7">
        <w:fldChar w:fldCharType="separate"/>
      </w:r>
      <w:r w:rsidR="001D06AA">
        <w:rPr>
          <w:noProof/>
        </w:rPr>
        <w:t>7</w:t>
      </w:r>
      <w:r w:rsidR="00B061D7">
        <w:fldChar w:fldCharType="end"/>
      </w:r>
      <w:r>
        <w:t xml:space="preserve"> Κατανομή της ομοιότητας και της αδυναμίας του δείγματος</w:t>
      </w:r>
      <w:bookmarkEnd w:id="45"/>
    </w:p>
    <w:tbl>
      <w:tblPr>
        <w:tblW w:w="8002" w:type="dxa"/>
        <w:jc w:val="center"/>
        <w:tblBorders>
          <w:top w:val="single" w:sz="4" w:space="0" w:color="000001"/>
          <w:bottom w:val="single" w:sz="4" w:space="0" w:color="000001"/>
          <w:insideH w:val="single" w:sz="4" w:space="0" w:color="000001"/>
        </w:tblBorders>
        <w:tblLook w:val="04A0"/>
      </w:tblPr>
      <w:tblGrid>
        <w:gridCol w:w="4156"/>
        <w:gridCol w:w="1597"/>
        <w:gridCol w:w="1125"/>
        <w:gridCol w:w="1124"/>
      </w:tblGrid>
      <w:tr w:rsidR="001B3514">
        <w:trPr>
          <w:trHeight w:val="246"/>
          <w:jc w:val="center"/>
        </w:trPr>
        <w:tc>
          <w:tcPr>
            <w:tcW w:w="5752" w:type="dxa"/>
            <w:gridSpan w:val="2"/>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w:t>
            </w:r>
          </w:p>
        </w:tc>
        <w:tc>
          <w:tcPr>
            <w:tcW w:w="112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w:t>
            </w:r>
          </w:p>
        </w:tc>
        <w:tc>
          <w:tcPr>
            <w:tcW w:w="112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xml:space="preserve"> %</w:t>
            </w:r>
          </w:p>
        </w:tc>
      </w:tr>
      <w:tr w:rsidR="001B3514">
        <w:trPr>
          <w:trHeight w:val="246"/>
          <w:jc w:val="center"/>
        </w:trPr>
        <w:tc>
          <w:tcPr>
            <w:tcW w:w="4155"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Σε ποιον μοιάζετε φυσιογνωμικά;</w:t>
            </w:r>
          </w:p>
        </w:tc>
        <w:tc>
          <w:tcPr>
            <w:tcW w:w="159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Μητέρα</w:t>
            </w:r>
          </w:p>
        </w:tc>
        <w:tc>
          <w:tcPr>
            <w:tcW w:w="112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51</w:t>
            </w:r>
          </w:p>
        </w:tc>
        <w:tc>
          <w:tcPr>
            <w:tcW w:w="112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51.0%</w:t>
            </w:r>
          </w:p>
        </w:tc>
      </w:tr>
      <w:tr w:rsidR="001B3514">
        <w:trPr>
          <w:trHeight w:val="246"/>
          <w:jc w:val="center"/>
        </w:trPr>
        <w:tc>
          <w:tcPr>
            <w:tcW w:w="4155"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59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Πατέρα</w:t>
            </w:r>
          </w:p>
        </w:tc>
        <w:tc>
          <w:tcPr>
            <w:tcW w:w="112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46</w:t>
            </w:r>
          </w:p>
        </w:tc>
        <w:tc>
          <w:tcPr>
            <w:tcW w:w="112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46.0%</w:t>
            </w:r>
          </w:p>
        </w:tc>
      </w:tr>
      <w:tr w:rsidR="001B3514">
        <w:trPr>
          <w:trHeight w:val="246"/>
          <w:jc w:val="center"/>
        </w:trPr>
        <w:tc>
          <w:tcPr>
            <w:tcW w:w="4155"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59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Γονείς</w:t>
            </w:r>
          </w:p>
        </w:tc>
        <w:tc>
          <w:tcPr>
            <w:tcW w:w="112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3</w:t>
            </w:r>
          </w:p>
        </w:tc>
        <w:tc>
          <w:tcPr>
            <w:tcW w:w="112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3.0%</w:t>
            </w:r>
          </w:p>
        </w:tc>
      </w:tr>
      <w:tr w:rsidR="001B3514">
        <w:trPr>
          <w:trHeight w:val="246"/>
          <w:jc w:val="center"/>
        </w:trPr>
        <w:tc>
          <w:tcPr>
            <w:tcW w:w="4155"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 </w:t>
            </w:r>
          </w:p>
        </w:tc>
        <w:tc>
          <w:tcPr>
            <w:tcW w:w="1597"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Σύνολο</w:t>
            </w:r>
          </w:p>
        </w:tc>
        <w:tc>
          <w:tcPr>
            <w:tcW w:w="1125"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100</w:t>
            </w:r>
          </w:p>
        </w:tc>
        <w:tc>
          <w:tcPr>
            <w:tcW w:w="1124"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100.0%</w:t>
            </w:r>
          </w:p>
        </w:tc>
      </w:tr>
      <w:tr w:rsidR="001B3514">
        <w:trPr>
          <w:trHeight w:val="246"/>
          <w:jc w:val="center"/>
        </w:trPr>
        <w:tc>
          <w:tcPr>
            <w:tcW w:w="4155"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Σε ποιον μοιάζετε ως προς το χαρακτήρα;</w:t>
            </w:r>
          </w:p>
        </w:tc>
        <w:tc>
          <w:tcPr>
            <w:tcW w:w="159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Μητέρα</w:t>
            </w:r>
          </w:p>
        </w:tc>
        <w:tc>
          <w:tcPr>
            <w:tcW w:w="112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51</w:t>
            </w:r>
          </w:p>
        </w:tc>
        <w:tc>
          <w:tcPr>
            <w:tcW w:w="112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51.0%</w:t>
            </w:r>
          </w:p>
        </w:tc>
      </w:tr>
      <w:tr w:rsidR="001B3514">
        <w:trPr>
          <w:trHeight w:val="246"/>
          <w:jc w:val="center"/>
        </w:trPr>
        <w:tc>
          <w:tcPr>
            <w:tcW w:w="4155"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59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Πατέρα</w:t>
            </w:r>
          </w:p>
        </w:tc>
        <w:tc>
          <w:tcPr>
            <w:tcW w:w="112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43</w:t>
            </w:r>
          </w:p>
        </w:tc>
        <w:tc>
          <w:tcPr>
            <w:tcW w:w="112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43.0%</w:t>
            </w:r>
          </w:p>
        </w:tc>
      </w:tr>
      <w:tr w:rsidR="001B3514">
        <w:trPr>
          <w:trHeight w:val="246"/>
          <w:jc w:val="center"/>
        </w:trPr>
        <w:tc>
          <w:tcPr>
            <w:tcW w:w="4155"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59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Γονείς</w:t>
            </w:r>
          </w:p>
        </w:tc>
        <w:tc>
          <w:tcPr>
            <w:tcW w:w="112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3</w:t>
            </w:r>
          </w:p>
        </w:tc>
        <w:tc>
          <w:tcPr>
            <w:tcW w:w="112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3.0%</w:t>
            </w:r>
          </w:p>
        </w:tc>
      </w:tr>
      <w:tr w:rsidR="001B3514">
        <w:trPr>
          <w:trHeight w:val="246"/>
          <w:jc w:val="center"/>
        </w:trPr>
        <w:tc>
          <w:tcPr>
            <w:tcW w:w="4155"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59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Θεία</w:t>
            </w:r>
          </w:p>
        </w:tc>
        <w:tc>
          <w:tcPr>
            <w:tcW w:w="112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w:t>
            </w:r>
          </w:p>
        </w:tc>
        <w:tc>
          <w:tcPr>
            <w:tcW w:w="112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1.0%</w:t>
            </w:r>
          </w:p>
        </w:tc>
      </w:tr>
      <w:tr w:rsidR="001B3514">
        <w:trPr>
          <w:trHeight w:val="246"/>
          <w:jc w:val="center"/>
        </w:trPr>
        <w:tc>
          <w:tcPr>
            <w:tcW w:w="4155"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59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Κανέναν</w:t>
            </w:r>
          </w:p>
        </w:tc>
        <w:tc>
          <w:tcPr>
            <w:tcW w:w="112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w:t>
            </w:r>
          </w:p>
        </w:tc>
        <w:tc>
          <w:tcPr>
            <w:tcW w:w="112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2.0%</w:t>
            </w:r>
          </w:p>
        </w:tc>
      </w:tr>
      <w:tr w:rsidR="001B3514">
        <w:trPr>
          <w:trHeight w:val="246"/>
          <w:jc w:val="center"/>
        </w:trPr>
        <w:tc>
          <w:tcPr>
            <w:tcW w:w="4155"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 </w:t>
            </w:r>
          </w:p>
        </w:tc>
        <w:tc>
          <w:tcPr>
            <w:tcW w:w="1597"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Σύνολο</w:t>
            </w:r>
          </w:p>
        </w:tc>
        <w:tc>
          <w:tcPr>
            <w:tcW w:w="1125"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100</w:t>
            </w:r>
          </w:p>
        </w:tc>
        <w:tc>
          <w:tcPr>
            <w:tcW w:w="1124"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100.0%</w:t>
            </w:r>
          </w:p>
        </w:tc>
      </w:tr>
      <w:tr w:rsidR="001B3514">
        <w:trPr>
          <w:trHeight w:val="246"/>
          <w:jc w:val="center"/>
        </w:trPr>
        <w:tc>
          <w:tcPr>
            <w:tcW w:w="4155"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Σε ποιον έχετε περισσότερη αδυναμία από τα μέλη της οικογένειας σας;</w:t>
            </w:r>
          </w:p>
        </w:tc>
        <w:tc>
          <w:tcPr>
            <w:tcW w:w="159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Μητέρα</w:t>
            </w:r>
          </w:p>
        </w:tc>
        <w:tc>
          <w:tcPr>
            <w:tcW w:w="112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17</w:t>
            </w:r>
          </w:p>
        </w:tc>
        <w:tc>
          <w:tcPr>
            <w:tcW w:w="112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17.0%</w:t>
            </w:r>
          </w:p>
        </w:tc>
      </w:tr>
      <w:tr w:rsidR="001B3514">
        <w:trPr>
          <w:trHeight w:val="246"/>
          <w:jc w:val="center"/>
        </w:trPr>
        <w:tc>
          <w:tcPr>
            <w:tcW w:w="4155"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59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Αδέρφια</w:t>
            </w:r>
          </w:p>
        </w:tc>
        <w:tc>
          <w:tcPr>
            <w:tcW w:w="112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8</w:t>
            </w:r>
          </w:p>
        </w:tc>
        <w:tc>
          <w:tcPr>
            <w:tcW w:w="112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8.0%</w:t>
            </w:r>
          </w:p>
        </w:tc>
      </w:tr>
      <w:tr w:rsidR="001B3514">
        <w:trPr>
          <w:trHeight w:val="246"/>
          <w:jc w:val="center"/>
        </w:trPr>
        <w:tc>
          <w:tcPr>
            <w:tcW w:w="4155"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59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Γονείς</w:t>
            </w:r>
          </w:p>
        </w:tc>
        <w:tc>
          <w:tcPr>
            <w:tcW w:w="112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15</w:t>
            </w:r>
          </w:p>
        </w:tc>
        <w:tc>
          <w:tcPr>
            <w:tcW w:w="112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15.0%</w:t>
            </w:r>
          </w:p>
        </w:tc>
      </w:tr>
      <w:tr w:rsidR="001B3514">
        <w:trPr>
          <w:trHeight w:val="246"/>
          <w:jc w:val="center"/>
        </w:trPr>
        <w:tc>
          <w:tcPr>
            <w:tcW w:w="4155"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59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Παιδιά</w:t>
            </w:r>
          </w:p>
        </w:tc>
        <w:tc>
          <w:tcPr>
            <w:tcW w:w="112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24</w:t>
            </w:r>
          </w:p>
        </w:tc>
        <w:tc>
          <w:tcPr>
            <w:tcW w:w="112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24.0%</w:t>
            </w:r>
          </w:p>
        </w:tc>
      </w:tr>
      <w:tr w:rsidR="001B3514">
        <w:trPr>
          <w:trHeight w:val="246"/>
          <w:jc w:val="center"/>
        </w:trPr>
        <w:tc>
          <w:tcPr>
            <w:tcW w:w="4155"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59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Σύζυγο</w:t>
            </w:r>
          </w:p>
        </w:tc>
        <w:tc>
          <w:tcPr>
            <w:tcW w:w="112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w:t>
            </w:r>
          </w:p>
        </w:tc>
        <w:tc>
          <w:tcPr>
            <w:tcW w:w="112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2.0%</w:t>
            </w:r>
          </w:p>
        </w:tc>
      </w:tr>
      <w:tr w:rsidR="001B3514">
        <w:trPr>
          <w:trHeight w:val="246"/>
          <w:jc w:val="center"/>
        </w:trPr>
        <w:tc>
          <w:tcPr>
            <w:tcW w:w="4155"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59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Εγγόνια</w:t>
            </w:r>
          </w:p>
        </w:tc>
        <w:tc>
          <w:tcPr>
            <w:tcW w:w="112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5</w:t>
            </w:r>
          </w:p>
        </w:tc>
        <w:tc>
          <w:tcPr>
            <w:tcW w:w="112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5.0%</w:t>
            </w:r>
          </w:p>
        </w:tc>
      </w:tr>
      <w:tr w:rsidR="001B3514">
        <w:trPr>
          <w:trHeight w:val="246"/>
          <w:jc w:val="center"/>
        </w:trPr>
        <w:tc>
          <w:tcPr>
            <w:tcW w:w="4155"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59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Όλους</w:t>
            </w:r>
          </w:p>
        </w:tc>
        <w:tc>
          <w:tcPr>
            <w:tcW w:w="112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27</w:t>
            </w:r>
          </w:p>
        </w:tc>
        <w:tc>
          <w:tcPr>
            <w:tcW w:w="112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27.0%</w:t>
            </w:r>
          </w:p>
        </w:tc>
      </w:tr>
      <w:tr w:rsidR="001B3514">
        <w:trPr>
          <w:trHeight w:val="246"/>
          <w:jc w:val="center"/>
        </w:trPr>
        <w:tc>
          <w:tcPr>
            <w:tcW w:w="4155"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59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Κανέναν</w:t>
            </w:r>
          </w:p>
        </w:tc>
        <w:tc>
          <w:tcPr>
            <w:tcW w:w="112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w:t>
            </w:r>
          </w:p>
        </w:tc>
        <w:tc>
          <w:tcPr>
            <w:tcW w:w="112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2.0%</w:t>
            </w:r>
          </w:p>
        </w:tc>
      </w:tr>
      <w:tr w:rsidR="001B3514">
        <w:trPr>
          <w:trHeight w:val="246"/>
          <w:jc w:val="center"/>
        </w:trPr>
        <w:tc>
          <w:tcPr>
            <w:tcW w:w="4155"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 </w:t>
            </w:r>
          </w:p>
        </w:tc>
        <w:tc>
          <w:tcPr>
            <w:tcW w:w="1597"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Σύνολο</w:t>
            </w:r>
          </w:p>
        </w:tc>
        <w:tc>
          <w:tcPr>
            <w:tcW w:w="1125"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100</w:t>
            </w:r>
          </w:p>
        </w:tc>
        <w:tc>
          <w:tcPr>
            <w:tcW w:w="1124"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100.0%</w:t>
            </w:r>
          </w:p>
        </w:tc>
      </w:tr>
      <w:tr w:rsidR="001B3514">
        <w:trPr>
          <w:trHeight w:val="246"/>
          <w:jc w:val="center"/>
        </w:trPr>
        <w:tc>
          <w:tcPr>
            <w:tcW w:w="4155"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Σε ποιον είχατε περισσότερη αδυναμία από τους γονείς σας;</w:t>
            </w:r>
          </w:p>
        </w:tc>
        <w:tc>
          <w:tcPr>
            <w:tcW w:w="159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Μητέρα</w:t>
            </w:r>
          </w:p>
        </w:tc>
        <w:tc>
          <w:tcPr>
            <w:tcW w:w="112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22</w:t>
            </w:r>
          </w:p>
        </w:tc>
        <w:tc>
          <w:tcPr>
            <w:tcW w:w="112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22.0%</w:t>
            </w:r>
          </w:p>
        </w:tc>
      </w:tr>
      <w:tr w:rsidR="001B3514">
        <w:trPr>
          <w:trHeight w:val="246"/>
          <w:jc w:val="center"/>
        </w:trPr>
        <w:tc>
          <w:tcPr>
            <w:tcW w:w="4155"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59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Πατέρα</w:t>
            </w:r>
          </w:p>
        </w:tc>
        <w:tc>
          <w:tcPr>
            <w:tcW w:w="112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12</w:t>
            </w:r>
          </w:p>
        </w:tc>
        <w:tc>
          <w:tcPr>
            <w:tcW w:w="112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12.0%</w:t>
            </w:r>
          </w:p>
        </w:tc>
      </w:tr>
      <w:tr w:rsidR="001B3514">
        <w:trPr>
          <w:trHeight w:val="246"/>
          <w:jc w:val="center"/>
        </w:trPr>
        <w:tc>
          <w:tcPr>
            <w:tcW w:w="4155"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59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Και στους δύο</w:t>
            </w:r>
          </w:p>
        </w:tc>
        <w:tc>
          <w:tcPr>
            <w:tcW w:w="112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61</w:t>
            </w:r>
          </w:p>
        </w:tc>
        <w:tc>
          <w:tcPr>
            <w:tcW w:w="112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61.0%</w:t>
            </w:r>
          </w:p>
        </w:tc>
      </w:tr>
      <w:tr w:rsidR="001B3514">
        <w:trPr>
          <w:trHeight w:val="396"/>
          <w:jc w:val="center"/>
        </w:trPr>
        <w:tc>
          <w:tcPr>
            <w:tcW w:w="4155"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59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Σε κανέναν από τους δύο</w:t>
            </w:r>
          </w:p>
        </w:tc>
        <w:tc>
          <w:tcPr>
            <w:tcW w:w="112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5</w:t>
            </w:r>
          </w:p>
        </w:tc>
        <w:tc>
          <w:tcPr>
            <w:tcW w:w="112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5.0%</w:t>
            </w:r>
          </w:p>
        </w:tc>
      </w:tr>
      <w:tr w:rsidR="001B3514">
        <w:trPr>
          <w:trHeight w:val="246"/>
          <w:jc w:val="center"/>
        </w:trPr>
        <w:tc>
          <w:tcPr>
            <w:tcW w:w="4155"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 </w:t>
            </w:r>
          </w:p>
        </w:tc>
        <w:tc>
          <w:tcPr>
            <w:tcW w:w="1597"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Σύνολο</w:t>
            </w:r>
          </w:p>
        </w:tc>
        <w:tc>
          <w:tcPr>
            <w:tcW w:w="1125"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100</w:t>
            </w:r>
          </w:p>
        </w:tc>
        <w:tc>
          <w:tcPr>
            <w:tcW w:w="1124"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100.0%</w:t>
            </w:r>
          </w:p>
        </w:tc>
      </w:tr>
    </w:tbl>
    <w:p w:rsidR="001B3514" w:rsidRDefault="00782E3E">
      <w:pPr>
        <w:rPr>
          <w:lang w:eastAsia="zh-CN" w:bidi="hi-IN"/>
        </w:rPr>
      </w:pPr>
      <w:r>
        <w:rPr>
          <w:lang w:eastAsia="zh-CN" w:bidi="hi-IN"/>
        </w:rPr>
        <w:t>Από τον παραπάνω πίνακα στην ερώτηση «Σε ποιον μοιάζετε φυσιογνωμικά;» 51 (51%) εκ των ερωτηθέντων απάντησαν τη μητέρα και 3 (3%) απάντησαν και τους δύο γονείς. Στην ερώτηση «Σε ποιον μοιάζετε ως προς το χαρακτήρα;» 51 (51%) απάντησαν τη μητέρα και μόνο ένας απάντησε τη θεία (1%). Στην ερώτηση «Σε ποιον έχετε περισσότερη αδυναμία από τα μέλη της οικογένειας σας;» 27 (27%) από τους ερωτηθέντες του δείγματος απάντησαν πως έχουν αδυναμία σε όλους και 2(2%) απάντησαν πως δεν έχουν αδυναμία σε κανένα. Στην ερώτηση «Σε ποιον είχατε περισσότερη αδυναμία από τους γονείς σας;» 61(61%) εκ των ερωτηθέντων απάντησαν και στους 2 και 5 (5%) απάντησαν σε κανέναν από τους δύο γονείς.</w:t>
      </w:r>
    </w:p>
    <w:p w:rsidR="001B3514" w:rsidRDefault="00782E3E">
      <w:pPr>
        <w:spacing w:line="259" w:lineRule="auto"/>
        <w:jc w:val="left"/>
        <w:rPr>
          <w:lang w:eastAsia="zh-CN" w:bidi="hi-IN"/>
        </w:rPr>
      </w:pPr>
      <w:r>
        <w:br w:type="page"/>
      </w:r>
    </w:p>
    <w:p w:rsidR="001B3514" w:rsidRDefault="00782E3E">
      <w:pPr>
        <w:pStyle w:val="aa"/>
        <w:keepNext/>
      </w:pPr>
      <w:bookmarkStart w:id="46" w:name="_Toc64641815"/>
      <w:r>
        <w:lastRenderedPageBreak/>
        <w:t xml:space="preserve">Πίνακας </w:t>
      </w:r>
      <w:r w:rsidR="00B061D7">
        <w:fldChar w:fldCharType="begin"/>
      </w:r>
      <w:r>
        <w:instrText>SEQ Πίνακας \* ARABIC</w:instrText>
      </w:r>
      <w:r w:rsidR="00B061D7">
        <w:fldChar w:fldCharType="separate"/>
      </w:r>
      <w:r w:rsidR="001D06AA">
        <w:rPr>
          <w:noProof/>
        </w:rPr>
        <w:t>8</w:t>
      </w:r>
      <w:r w:rsidR="00B061D7">
        <w:fldChar w:fldCharType="end"/>
      </w:r>
      <w:r>
        <w:t xml:space="preserve"> Κατανομή της διαμονής και των κοινωνικών χαρακτηριστικών του δείγματος</w:t>
      </w:r>
      <w:bookmarkEnd w:id="46"/>
    </w:p>
    <w:tbl>
      <w:tblPr>
        <w:tblW w:w="7280" w:type="dxa"/>
        <w:jc w:val="center"/>
        <w:tblBorders>
          <w:top w:val="single" w:sz="4" w:space="0" w:color="000001"/>
          <w:bottom w:val="single" w:sz="4" w:space="0" w:color="000001"/>
          <w:insideH w:val="single" w:sz="4" w:space="0" w:color="000001"/>
        </w:tblBorders>
        <w:tblLook w:val="04A0"/>
      </w:tblPr>
      <w:tblGrid>
        <w:gridCol w:w="2772"/>
        <w:gridCol w:w="2506"/>
        <w:gridCol w:w="1001"/>
        <w:gridCol w:w="1001"/>
      </w:tblGrid>
      <w:tr w:rsidR="001B3514">
        <w:trPr>
          <w:trHeight w:val="253"/>
          <w:jc w:val="center"/>
        </w:trPr>
        <w:tc>
          <w:tcPr>
            <w:tcW w:w="5278" w:type="dxa"/>
            <w:gridSpan w:val="2"/>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w:t>
            </w:r>
          </w:p>
        </w:tc>
        <w:tc>
          <w:tcPr>
            <w:tcW w:w="100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w:t>
            </w:r>
          </w:p>
        </w:tc>
        <w:tc>
          <w:tcPr>
            <w:tcW w:w="100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xml:space="preserve"> %</w:t>
            </w:r>
          </w:p>
        </w:tc>
      </w:tr>
      <w:tr w:rsidR="001B3514">
        <w:trPr>
          <w:trHeight w:val="405"/>
          <w:jc w:val="center"/>
        </w:trPr>
        <w:tc>
          <w:tcPr>
            <w:tcW w:w="2772"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Με ποιον μένετε;</w:t>
            </w:r>
          </w:p>
        </w:tc>
        <w:tc>
          <w:tcPr>
            <w:tcW w:w="250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Με τον/την σύζυγο και τα παιδιά μας</w:t>
            </w:r>
          </w:p>
        </w:tc>
        <w:tc>
          <w:tcPr>
            <w:tcW w:w="100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52</w:t>
            </w:r>
          </w:p>
        </w:tc>
        <w:tc>
          <w:tcPr>
            <w:tcW w:w="100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52.0%</w:t>
            </w:r>
          </w:p>
        </w:tc>
      </w:tr>
      <w:tr w:rsidR="001B3514">
        <w:trPr>
          <w:trHeight w:val="253"/>
          <w:jc w:val="center"/>
        </w:trPr>
        <w:tc>
          <w:tcPr>
            <w:tcW w:w="2772"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250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Μόνος/η</w:t>
            </w:r>
          </w:p>
        </w:tc>
        <w:tc>
          <w:tcPr>
            <w:tcW w:w="100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22</w:t>
            </w:r>
          </w:p>
        </w:tc>
        <w:tc>
          <w:tcPr>
            <w:tcW w:w="100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22.0%</w:t>
            </w:r>
          </w:p>
        </w:tc>
      </w:tr>
      <w:tr w:rsidR="001B3514">
        <w:trPr>
          <w:trHeight w:val="253"/>
          <w:jc w:val="center"/>
        </w:trPr>
        <w:tc>
          <w:tcPr>
            <w:tcW w:w="2772"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250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Με τον/την σύντροφο</w:t>
            </w:r>
          </w:p>
        </w:tc>
        <w:tc>
          <w:tcPr>
            <w:tcW w:w="100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17</w:t>
            </w:r>
          </w:p>
        </w:tc>
        <w:tc>
          <w:tcPr>
            <w:tcW w:w="100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17.0%</w:t>
            </w:r>
          </w:p>
        </w:tc>
      </w:tr>
      <w:tr w:rsidR="001B3514">
        <w:trPr>
          <w:trHeight w:val="253"/>
          <w:jc w:val="center"/>
        </w:trPr>
        <w:tc>
          <w:tcPr>
            <w:tcW w:w="2772"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250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Με την αδερφή</w:t>
            </w:r>
          </w:p>
        </w:tc>
        <w:tc>
          <w:tcPr>
            <w:tcW w:w="100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w:t>
            </w:r>
          </w:p>
        </w:tc>
        <w:tc>
          <w:tcPr>
            <w:tcW w:w="100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1.0%</w:t>
            </w:r>
          </w:p>
        </w:tc>
      </w:tr>
      <w:tr w:rsidR="001B3514">
        <w:trPr>
          <w:trHeight w:val="253"/>
          <w:jc w:val="center"/>
        </w:trPr>
        <w:tc>
          <w:tcPr>
            <w:tcW w:w="2772"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250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Με τον αδερφό</w:t>
            </w:r>
          </w:p>
        </w:tc>
        <w:tc>
          <w:tcPr>
            <w:tcW w:w="100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w:t>
            </w:r>
          </w:p>
        </w:tc>
        <w:tc>
          <w:tcPr>
            <w:tcW w:w="100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2.0%</w:t>
            </w:r>
          </w:p>
        </w:tc>
      </w:tr>
      <w:tr w:rsidR="001B3514">
        <w:trPr>
          <w:trHeight w:val="253"/>
          <w:jc w:val="center"/>
        </w:trPr>
        <w:tc>
          <w:tcPr>
            <w:tcW w:w="2772"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250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Με τα παιδιά μου</w:t>
            </w:r>
          </w:p>
        </w:tc>
        <w:tc>
          <w:tcPr>
            <w:tcW w:w="100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6</w:t>
            </w:r>
          </w:p>
        </w:tc>
        <w:tc>
          <w:tcPr>
            <w:tcW w:w="100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6.0%</w:t>
            </w:r>
          </w:p>
        </w:tc>
      </w:tr>
      <w:tr w:rsidR="001B3514">
        <w:trPr>
          <w:trHeight w:val="253"/>
          <w:jc w:val="center"/>
        </w:trPr>
        <w:tc>
          <w:tcPr>
            <w:tcW w:w="2772"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 </w:t>
            </w:r>
          </w:p>
        </w:tc>
        <w:tc>
          <w:tcPr>
            <w:tcW w:w="2505"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Σύνολο</w:t>
            </w:r>
          </w:p>
        </w:tc>
        <w:tc>
          <w:tcPr>
            <w:tcW w:w="1001"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100</w:t>
            </w:r>
          </w:p>
        </w:tc>
        <w:tc>
          <w:tcPr>
            <w:tcW w:w="1001"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100.0%</w:t>
            </w:r>
          </w:p>
        </w:tc>
      </w:tr>
      <w:tr w:rsidR="001B3514">
        <w:trPr>
          <w:trHeight w:val="253"/>
          <w:jc w:val="center"/>
        </w:trPr>
        <w:tc>
          <w:tcPr>
            <w:tcW w:w="2772"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Κάνετε διακοπές;</w:t>
            </w:r>
          </w:p>
        </w:tc>
        <w:tc>
          <w:tcPr>
            <w:tcW w:w="250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Ναι</w:t>
            </w:r>
          </w:p>
        </w:tc>
        <w:tc>
          <w:tcPr>
            <w:tcW w:w="100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53</w:t>
            </w:r>
          </w:p>
        </w:tc>
        <w:tc>
          <w:tcPr>
            <w:tcW w:w="100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53.0%</w:t>
            </w:r>
          </w:p>
        </w:tc>
      </w:tr>
      <w:tr w:rsidR="001B3514">
        <w:trPr>
          <w:trHeight w:val="253"/>
          <w:jc w:val="center"/>
        </w:trPr>
        <w:tc>
          <w:tcPr>
            <w:tcW w:w="2772"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250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Όχι</w:t>
            </w:r>
          </w:p>
        </w:tc>
        <w:tc>
          <w:tcPr>
            <w:tcW w:w="100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47</w:t>
            </w:r>
          </w:p>
        </w:tc>
        <w:tc>
          <w:tcPr>
            <w:tcW w:w="100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47.0%</w:t>
            </w:r>
          </w:p>
        </w:tc>
      </w:tr>
      <w:tr w:rsidR="001B3514">
        <w:trPr>
          <w:trHeight w:val="253"/>
          <w:jc w:val="center"/>
        </w:trPr>
        <w:tc>
          <w:tcPr>
            <w:tcW w:w="2772"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 </w:t>
            </w:r>
          </w:p>
        </w:tc>
        <w:tc>
          <w:tcPr>
            <w:tcW w:w="2505"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Σύνολο</w:t>
            </w:r>
          </w:p>
        </w:tc>
        <w:tc>
          <w:tcPr>
            <w:tcW w:w="1001"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100</w:t>
            </w:r>
          </w:p>
        </w:tc>
        <w:tc>
          <w:tcPr>
            <w:tcW w:w="1001"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100.0%</w:t>
            </w:r>
          </w:p>
        </w:tc>
      </w:tr>
      <w:tr w:rsidR="001B3514">
        <w:trPr>
          <w:trHeight w:val="253"/>
          <w:jc w:val="center"/>
        </w:trPr>
        <w:tc>
          <w:tcPr>
            <w:tcW w:w="2772"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Περπατάτε;</w:t>
            </w:r>
          </w:p>
        </w:tc>
        <w:tc>
          <w:tcPr>
            <w:tcW w:w="250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Ναι</w:t>
            </w:r>
          </w:p>
        </w:tc>
        <w:tc>
          <w:tcPr>
            <w:tcW w:w="100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60</w:t>
            </w:r>
          </w:p>
        </w:tc>
        <w:tc>
          <w:tcPr>
            <w:tcW w:w="100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60.0%</w:t>
            </w:r>
          </w:p>
        </w:tc>
      </w:tr>
      <w:tr w:rsidR="001B3514">
        <w:trPr>
          <w:trHeight w:val="253"/>
          <w:jc w:val="center"/>
        </w:trPr>
        <w:tc>
          <w:tcPr>
            <w:tcW w:w="2772"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250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Όχι</w:t>
            </w:r>
          </w:p>
        </w:tc>
        <w:tc>
          <w:tcPr>
            <w:tcW w:w="100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40</w:t>
            </w:r>
          </w:p>
        </w:tc>
        <w:tc>
          <w:tcPr>
            <w:tcW w:w="100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40.0%</w:t>
            </w:r>
          </w:p>
        </w:tc>
      </w:tr>
      <w:tr w:rsidR="001B3514">
        <w:trPr>
          <w:trHeight w:val="253"/>
          <w:jc w:val="center"/>
        </w:trPr>
        <w:tc>
          <w:tcPr>
            <w:tcW w:w="2772"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 </w:t>
            </w:r>
          </w:p>
        </w:tc>
        <w:tc>
          <w:tcPr>
            <w:tcW w:w="2505"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Σύνολο</w:t>
            </w:r>
          </w:p>
        </w:tc>
        <w:tc>
          <w:tcPr>
            <w:tcW w:w="1001"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100</w:t>
            </w:r>
          </w:p>
        </w:tc>
        <w:tc>
          <w:tcPr>
            <w:tcW w:w="1001"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100.0%</w:t>
            </w:r>
          </w:p>
        </w:tc>
      </w:tr>
      <w:tr w:rsidR="001B3514">
        <w:trPr>
          <w:trHeight w:val="253"/>
          <w:jc w:val="center"/>
        </w:trPr>
        <w:tc>
          <w:tcPr>
            <w:tcW w:w="2772"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Έχετε κήπο;</w:t>
            </w:r>
          </w:p>
        </w:tc>
        <w:tc>
          <w:tcPr>
            <w:tcW w:w="250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Ναι</w:t>
            </w:r>
          </w:p>
        </w:tc>
        <w:tc>
          <w:tcPr>
            <w:tcW w:w="100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66</w:t>
            </w:r>
          </w:p>
        </w:tc>
        <w:tc>
          <w:tcPr>
            <w:tcW w:w="100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66.0%</w:t>
            </w:r>
          </w:p>
        </w:tc>
      </w:tr>
      <w:tr w:rsidR="001B3514">
        <w:trPr>
          <w:trHeight w:val="253"/>
          <w:jc w:val="center"/>
        </w:trPr>
        <w:tc>
          <w:tcPr>
            <w:tcW w:w="2772"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250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Όχι</w:t>
            </w:r>
          </w:p>
        </w:tc>
        <w:tc>
          <w:tcPr>
            <w:tcW w:w="100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34</w:t>
            </w:r>
          </w:p>
        </w:tc>
        <w:tc>
          <w:tcPr>
            <w:tcW w:w="100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34.0%</w:t>
            </w:r>
          </w:p>
        </w:tc>
      </w:tr>
      <w:tr w:rsidR="001B3514">
        <w:trPr>
          <w:trHeight w:val="253"/>
          <w:jc w:val="center"/>
        </w:trPr>
        <w:tc>
          <w:tcPr>
            <w:tcW w:w="2772"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 </w:t>
            </w:r>
          </w:p>
        </w:tc>
        <w:tc>
          <w:tcPr>
            <w:tcW w:w="2505"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Σύνολο</w:t>
            </w:r>
          </w:p>
        </w:tc>
        <w:tc>
          <w:tcPr>
            <w:tcW w:w="1001"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100</w:t>
            </w:r>
          </w:p>
        </w:tc>
        <w:tc>
          <w:tcPr>
            <w:tcW w:w="1001"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100.0%</w:t>
            </w:r>
          </w:p>
        </w:tc>
      </w:tr>
      <w:tr w:rsidR="001B3514">
        <w:trPr>
          <w:trHeight w:val="253"/>
          <w:jc w:val="center"/>
        </w:trPr>
        <w:tc>
          <w:tcPr>
            <w:tcW w:w="2772"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Είχατε φίλους;</w:t>
            </w:r>
          </w:p>
        </w:tc>
        <w:tc>
          <w:tcPr>
            <w:tcW w:w="250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Ναι</w:t>
            </w:r>
          </w:p>
        </w:tc>
        <w:tc>
          <w:tcPr>
            <w:tcW w:w="100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98</w:t>
            </w:r>
          </w:p>
        </w:tc>
        <w:tc>
          <w:tcPr>
            <w:tcW w:w="100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98.0%</w:t>
            </w:r>
          </w:p>
        </w:tc>
      </w:tr>
      <w:tr w:rsidR="001B3514">
        <w:trPr>
          <w:trHeight w:val="253"/>
          <w:jc w:val="center"/>
        </w:trPr>
        <w:tc>
          <w:tcPr>
            <w:tcW w:w="2772"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250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Όχι</w:t>
            </w:r>
          </w:p>
        </w:tc>
        <w:tc>
          <w:tcPr>
            <w:tcW w:w="100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w:t>
            </w:r>
          </w:p>
        </w:tc>
        <w:tc>
          <w:tcPr>
            <w:tcW w:w="100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2.0%</w:t>
            </w:r>
          </w:p>
        </w:tc>
      </w:tr>
      <w:tr w:rsidR="001B3514">
        <w:trPr>
          <w:trHeight w:val="253"/>
          <w:jc w:val="center"/>
        </w:trPr>
        <w:tc>
          <w:tcPr>
            <w:tcW w:w="2772"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 </w:t>
            </w:r>
          </w:p>
        </w:tc>
        <w:tc>
          <w:tcPr>
            <w:tcW w:w="2505"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Σύνολο</w:t>
            </w:r>
          </w:p>
        </w:tc>
        <w:tc>
          <w:tcPr>
            <w:tcW w:w="1001"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100</w:t>
            </w:r>
          </w:p>
        </w:tc>
        <w:tc>
          <w:tcPr>
            <w:tcW w:w="1001"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100.0%</w:t>
            </w:r>
          </w:p>
        </w:tc>
      </w:tr>
      <w:tr w:rsidR="001B3514">
        <w:trPr>
          <w:trHeight w:val="253"/>
          <w:jc w:val="center"/>
        </w:trPr>
        <w:tc>
          <w:tcPr>
            <w:tcW w:w="2772"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Σήμερα έχετε φίλους;</w:t>
            </w:r>
          </w:p>
        </w:tc>
        <w:tc>
          <w:tcPr>
            <w:tcW w:w="250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Ναι</w:t>
            </w:r>
          </w:p>
        </w:tc>
        <w:tc>
          <w:tcPr>
            <w:tcW w:w="100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88</w:t>
            </w:r>
          </w:p>
        </w:tc>
        <w:tc>
          <w:tcPr>
            <w:tcW w:w="100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88.0%</w:t>
            </w:r>
          </w:p>
        </w:tc>
      </w:tr>
      <w:tr w:rsidR="001B3514">
        <w:trPr>
          <w:trHeight w:val="253"/>
          <w:jc w:val="center"/>
        </w:trPr>
        <w:tc>
          <w:tcPr>
            <w:tcW w:w="2772"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250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Όχι</w:t>
            </w:r>
          </w:p>
        </w:tc>
        <w:tc>
          <w:tcPr>
            <w:tcW w:w="100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12</w:t>
            </w:r>
          </w:p>
        </w:tc>
        <w:tc>
          <w:tcPr>
            <w:tcW w:w="100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12.0%</w:t>
            </w:r>
          </w:p>
        </w:tc>
      </w:tr>
      <w:tr w:rsidR="001B3514">
        <w:trPr>
          <w:trHeight w:val="253"/>
          <w:jc w:val="center"/>
        </w:trPr>
        <w:tc>
          <w:tcPr>
            <w:tcW w:w="2772"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 </w:t>
            </w:r>
          </w:p>
        </w:tc>
        <w:tc>
          <w:tcPr>
            <w:tcW w:w="2505"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Σύνολο</w:t>
            </w:r>
          </w:p>
        </w:tc>
        <w:tc>
          <w:tcPr>
            <w:tcW w:w="1001"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100</w:t>
            </w:r>
          </w:p>
        </w:tc>
        <w:tc>
          <w:tcPr>
            <w:tcW w:w="1001"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100.0%</w:t>
            </w:r>
          </w:p>
        </w:tc>
      </w:tr>
      <w:tr w:rsidR="001B3514">
        <w:trPr>
          <w:trHeight w:val="253"/>
          <w:jc w:val="center"/>
        </w:trPr>
        <w:tc>
          <w:tcPr>
            <w:tcW w:w="2772"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Πιστεύετε ότι το πρόβλημα της υπέρτασης σας είναι κάτι δύσκολο;</w:t>
            </w:r>
          </w:p>
        </w:tc>
        <w:tc>
          <w:tcPr>
            <w:tcW w:w="250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Ναι</w:t>
            </w:r>
          </w:p>
        </w:tc>
        <w:tc>
          <w:tcPr>
            <w:tcW w:w="100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35</w:t>
            </w:r>
          </w:p>
        </w:tc>
        <w:tc>
          <w:tcPr>
            <w:tcW w:w="100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35.0%</w:t>
            </w:r>
          </w:p>
        </w:tc>
      </w:tr>
      <w:tr w:rsidR="001B3514">
        <w:trPr>
          <w:trHeight w:val="253"/>
          <w:jc w:val="center"/>
        </w:trPr>
        <w:tc>
          <w:tcPr>
            <w:tcW w:w="2772"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250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Όχι</w:t>
            </w:r>
          </w:p>
        </w:tc>
        <w:tc>
          <w:tcPr>
            <w:tcW w:w="100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65</w:t>
            </w:r>
          </w:p>
        </w:tc>
        <w:tc>
          <w:tcPr>
            <w:tcW w:w="100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65.0%</w:t>
            </w:r>
          </w:p>
        </w:tc>
      </w:tr>
      <w:tr w:rsidR="001B3514">
        <w:trPr>
          <w:trHeight w:val="253"/>
          <w:jc w:val="center"/>
        </w:trPr>
        <w:tc>
          <w:tcPr>
            <w:tcW w:w="2772"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 </w:t>
            </w:r>
          </w:p>
        </w:tc>
        <w:tc>
          <w:tcPr>
            <w:tcW w:w="2505"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Σύνολο</w:t>
            </w:r>
          </w:p>
        </w:tc>
        <w:tc>
          <w:tcPr>
            <w:tcW w:w="1001"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100</w:t>
            </w:r>
          </w:p>
        </w:tc>
        <w:tc>
          <w:tcPr>
            <w:tcW w:w="1001"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100.0%</w:t>
            </w:r>
          </w:p>
        </w:tc>
      </w:tr>
    </w:tbl>
    <w:p w:rsidR="001B3514" w:rsidRDefault="00782E3E">
      <w:pPr>
        <w:rPr>
          <w:lang w:eastAsia="zh-CN" w:bidi="hi-IN"/>
        </w:rPr>
      </w:pPr>
      <w:r>
        <w:rPr>
          <w:lang w:eastAsia="zh-CN" w:bidi="hi-IN"/>
        </w:rPr>
        <w:t xml:space="preserve">Από τον παραπάνω πίνακα φαίνεται πως στην ερώτηση «Με ποιον μένετε;» 52 (52%) εκ των ερωτηθέντων απάντησαν πως μένουν με το σύντροφο και τα παιδιά τους και 1 (1%) απάντησε πως μένει με την αδερφή του. Στην ερώτηση «Κάνετε διακοπές;» 53(53%) εκ των ερωτηθέντων απάντησαν θετικά και 47 (47%) έδωσαν αρνητική απάντηση. Στην ερώτηση «Περπατάτε;» 6 στους 10 συμμετέχοντες απάντησαν θετικά και 4 στους 10 έδωσαν αρνητική απάντηση. Στην ερώτηση «Έχετε κήπο;» 7 στους 10 συμμετέχοντες απάντησαν θετικά και 3 στους 10 έδωσαν αρνητική απάντηση. Στην ερώτηση «Είχατε φίλους;» 9 στους 10 συμμετέχοντες απάντησαν θετικά και 1 στους 10 έδωσαν αρνητική απάντηση. Στην ερώτηση «Σήμερα έχετε φίλους;» 9 στους 10 συμμετέχοντες απάντησαν θετικά και 1 στους 10 έδωσαν αρνητική απάντηση. Στην </w:t>
      </w:r>
      <w:r>
        <w:rPr>
          <w:lang w:eastAsia="zh-CN" w:bidi="hi-IN"/>
        </w:rPr>
        <w:lastRenderedPageBreak/>
        <w:t>ερώτηση «Πιστεύετε ότι το πρόβλημα της υπέρτασης σας είναι κάτι δύσκολο;» 7 στους 10 συμμετέχοντες απάντησαν αρνητικά και 3 στους 10 έδωσαν θετική απάντηση.</w:t>
      </w:r>
    </w:p>
    <w:p w:rsidR="001B3514" w:rsidRDefault="001B3514">
      <w:pPr>
        <w:rPr>
          <w:lang w:eastAsia="zh-CN" w:bidi="hi-IN"/>
        </w:rPr>
      </w:pPr>
    </w:p>
    <w:p w:rsidR="001B3514" w:rsidRDefault="00782E3E">
      <w:pPr>
        <w:pStyle w:val="aa"/>
        <w:keepNext/>
      </w:pPr>
      <w:bookmarkStart w:id="47" w:name="_Toc64641816"/>
      <w:r>
        <w:t xml:space="preserve">Πίνακας </w:t>
      </w:r>
      <w:r w:rsidR="00B061D7">
        <w:fldChar w:fldCharType="begin"/>
      </w:r>
      <w:r>
        <w:instrText>SEQ Πίνακας \* ARABIC</w:instrText>
      </w:r>
      <w:r w:rsidR="00B061D7">
        <w:fldChar w:fldCharType="separate"/>
      </w:r>
      <w:r w:rsidR="001D06AA">
        <w:rPr>
          <w:noProof/>
        </w:rPr>
        <w:t>9</w:t>
      </w:r>
      <w:r w:rsidR="00B061D7">
        <w:fldChar w:fldCharType="end"/>
      </w:r>
      <w:r>
        <w:t xml:space="preserve"> Κατανομή του τόπου διαμονής και του εκπαιδευτικού επιπέδου του δείγματος</w:t>
      </w:r>
      <w:bookmarkEnd w:id="47"/>
    </w:p>
    <w:tbl>
      <w:tblPr>
        <w:tblW w:w="6260" w:type="dxa"/>
        <w:jc w:val="center"/>
        <w:tblBorders>
          <w:top w:val="single" w:sz="4" w:space="0" w:color="000001"/>
          <w:bottom w:val="single" w:sz="4" w:space="0" w:color="000001"/>
          <w:insideH w:val="single" w:sz="4" w:space="0" w:color="000001"/>
        </w:tblBorders>
        <w:tblLook w:val="04A0"/>
      </w:tblPr>
      <w:tblGrid>
        <w:gridCol w:w="2021"/>
        <w:gridCol w:w="2320"/>
        <w:gridCol w:w="960"/>
        <w:gridCol w:w="959"/>
      </w:tblGrid>
      <w:tr w:rsidR="001B3514">
        <w:trPr>
          <w:trHeight w:val="256"/>
          <w:jc w:val="center"/>
        </w:trPr>
        <w:tc>
          <w:tcPr>
            <w:tcW w:w="4340" w:type="dxa"/>
            <w:gridSpan w:val="2"/>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w:t>
            </w:r>
          </w:p>
        </w:tc>
        <w:tc>
          <w:tcPr>
            <w:tcW w:w="95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xml:space="preserve"> %</w:t>
            </w:r>
          </w:p>
        </w:tc>
      </w:tr>
      <w:tr w:rsidR="001B3514">
        <w:trPr>
          <w:trHeight w:val="256"/>
          <w:jc w:val="center"/>
        </w:trPr>
        <w:tc>
          <w:tcPr>
            <w:tcW w:w="202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Τόπος διαμονής</w:t>
            </w:r>
          </w:p>
        </w:tc>
        <w:tc>
          <w:tcPr>
            <w:tcW w:w="232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Χωριό/κωμόπολη</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74</w:t>
            </w:r>
          </w:p>
        </w:tc>
        <w:tc>
          <w:tcPr>
            <w:tcW w:w="95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74.0%</w:t>
            </w:r>
          </w:p>
        </w:tc>
      </w:tr>
      <w:tr w:rsidR="001B3514">
        <w:trPr>
          <w:trHeight w:val="256"/>
          <w:jc w:val="center"/>
        </w:trPr>
        <w:tc>
          <w:tcPr>
            <w:tcW w:w="202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232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Πόλη &lt;150.000 κατοίκους</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15</w:t>
            </w:r>
          </w:p>
        </w:tc>
        <w:tc>
          <w:tcPr>
            <w:tcW w:w="95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15.0%</w:t>
            </w:r>
          </w:p>
        </w:tc>
      </w:tr>
      <w:tr w:rsidR="001B3514">
        <w:trPr>
          <w:trHeight w:val="256"/>
          <w:jc w:val="center"/>
        </w:trPr>
        <w:tc>
          <w:tcPr>
            <w:tcW w:w="202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232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Πόλη &gt;150.000 κατοίκους</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11</w:t>
            </w:r>
          </w:p>
        </w:tc>
        <w:tc>
          <w:tcPr>
            <w:tcW w:w="95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11.0%</w:t>
            </w:r>
          </w:p>
        </w:tc>
      </w:tr>
      <w:tr w:rsidR="001B3514">
        <w:trPr>
          <w:trHeight w:val="256"/>
          <w:jc w:val="center"/>
        </w:trPr>
        <w:tc>
          <w:tcPr>
            <w:tcW w:w="2020"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 </w:t>
            </w:r>
          </w:p>
        </w:tc>
        <w:tc>
          <w:tcPr>
            <w:tcW w:w="2320"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Σύνολο</w:t>
            </w:r>
          </w:p>
        </w:tc>
        <w:tc>
          <w:tcPr>
            <w:tcW w:w="960"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100</w:t>
            </w:r>
          </w:p>
        </w:tc>
        <w:tc>
          <w:tcPr>
            <w:tcW w:w="959"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100.0%</w:t>
            </w:r>
          </w:p>
        </w:tc>
      </w:tr>
      <w:tr w:rsidR="001B3514">
        <w:trPr>
          <w:trHeight w:val="256"/>
          <w:jc w:val="center"/>
        </w:trPr>
        <w:tc>
          <w:tcPr>
            <w:tcW w:w="202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Εκπαιδευτικό επίπεδο</w:t>
            </w:r>
          </w:p>
        </w:tc>
        <w:tc>
          <w:tcPr>
            <w:tcW w:w="232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Αναλφάβητος</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w:t>
            </w:r>
          </w:p>
        </w:tc>
        <w:tc>
          <w:tcPr>
            <w:tcW w:w="95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2.0%</w:t>
            </w:r>
          </w:p>
        </w:tc>
      </w:tr>
      <w:tr w:rsidR="001B3514">
        <w:trPr>
          <w:trHeight w:val="256"/>
          <w:jc w:val="center"/>
        </w:trPr>
        <w:tc>
          <w:tcPr>
            <w:tcW w:w="202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232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Απόφοιτος δημοτικού</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23</w:t>
            </w:r>
          </w:p>
        </w:tc>
        <w:tc>
          <w:tcPr>
            <w:tcW w:w="95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23.0%</w:t>
            </w:r>
          </w:p>
        </w:tc>
      </w:tr>
      <w:tr w:rsidR="001B3514">
        <w:trPr>
          <w:trHeight w:val="256"/>
          <w:jc w:val="center"/>
        </w:trPr>
        <w:tc>
          <w:tcPr>
            <w:tcW w:w="202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232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Απόφοιτος γυμνασίου</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16</w:t>
            </w:r>
          </w:p>
        </w:tc>
        <w:tc>
          <w:tcPr>
            <w:tcW w:w="95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16.0%</w:t>
            </w:r>
          </w:p>
        </w:tc>
      </w:tr>
      <w:tr w:rsidR="001B3514">
        <w:trPr>
          <w:trHeight w:val="256"/>
          <w:jc w:val="center"/>
        </w:trPr>
        <w:tc>
          <w:tcPr>
            <w:tcW w:w="202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232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Απόφοιτος λυκείου</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29</w:t>
            </w:r>
          </w:p>
        </w:tc>
        <w:tc>
          <w:tcPr>
            <w:tcW w:w="95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29.0%</w:t>
            </w:r>
          </w:p>
        </w:tc>
      </w:tr>
      <w:tr w:rsidR="001B3514">
        <w:trPr>
          <w:trHeight w:val="256"/>
          <w:jc w:val="center"/>
        </w:trPr>
        <w:tc>
          <w:tcPr>
            <w:tcW w:w="202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232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Απόφοιτος ΑΕΙ/ΤΕΙ</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27</w:t>
            </w:r>
          </w:p>
        </w:tc>
        <w:tc>
          <w:tcPr>
            <w:tcW w:w="95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27.0%</w:t>
            </w:r>
          </w:p>
        </w:tc>
      </w:tr>
      <w:tr w:rsidR="001B3514">
        <w:trPr>
          <w:trHeight w:val="256"/>
          <w:jc w:val="center"/>
        </w:trPr>
        <w:tc>
          <w:tcPr>
            <w:tcW w:w="202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232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Μεταπτυχιακά</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3</w:t>
            </w:r>
          </w:p>
        </w:tc>
        <w:tc>
          <w:tcPr>
            <w:tcW w:w="95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3.0%</w:t>
            </w:r>
          </w:p>
        </w:tc>
      </w:tr>
      <w:tr w:rsidR="001B3514">
        <w:trPr>
          <w:trHeight w:val="256"/>
          <w:jc w:val="center"/>
        </w:trPr>
        <w:tc>
          <w:tcPr>
            <w:tcW w:w="2020"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 </w:t>
            </w:r>
          </w:p>
        </w:tc>
        <w:tc>
          <w:tcPr>
            <w:tcW w:w="2320"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Σύνολο</w:t>
            </w:r>
          </w:p>
        </w:tc>
        <w:tc>
          <w:tcPr>
            <w:tcW w:w="960"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100</w:t>
            </w:r>
          </w:p>
        </w:tc>
        <w:tc>
          <w:tcPr>
            <w:tcW w:w="959"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100.0%</w:t>
            </w:r>
          </w:p>
        </w:tc>
      </w:tr>
    </w:tbl>
    <w:p w:rsidR="001B3514" w:rsidRDefault="00782E3E">
      <w:pPr>
        <w:rPr>
          <w:lang w:eastAsia="zh-CN" w:bidi="hi-IN"/>
        </w:rPr>
      </w:pPr>
      <w:r>
        <w:rPr>
          <w:lang w:eastAsia="zh-CN" w:bidi="hi-IN"/>
        </w:rPr>
        <w:t>Σχετικά με τον παραπάνω πίνακα στην ερώτηση για τον τόπο διαμονής του δείγματος 74 (74%) εκ των ερωτηθέντων απάντησαν το χωριό ή των κωμόπολη και 11 (11%) απάντησαν πως κατοικούν σε πόλη μεγαλύτερη των 150.000 κατοίκων. Αναφορικά με το εκπαιδευτικό επίπεδο του δείγματος 29 (29%) εκ των ερωτηθέντων είναι απόφοιτοι λυκείου και 2 (2%) είναι αναλφάβητοι.</w:t>
      </w:r>
    </w:p>
    <w:p w:rsidR="001B3514" w:rsidRDefault="00782E3E">
      <w:pPr>
        <w:spacing w:line="259" w:lineRule="auto"/>
        <w:jc w:val="left"/>
        <w:rPr>
          <w:lang w:eastAsia="zh-CN" w:bidi="hi-IN"/>
        </w:rPr>
      </w:pPr>
      <w:r>
        <w:br w:type="page"/>
      </w:r>
    </w:p>
    <w:p w:rsidR="001B3514" w:rsidRDefault="00782E3E">
      <w:pPr>
        <w:pStyle w:val="aa"/>
        <w:keepNext/>
      </w:pPr>
      <w:bookmarkStart w:id="48" w:name="_Toc64641817"/>
      <w:r>
        <w:lastRenderedPageBreak/>
        <w:t xml:space="preserve">Πίνακας </w:t>
      </w:r>
      <w:r w:rsidR="00B061D7">
        <w:fldChar w:fldCharType="begin"/>
      </w:r>
      <w:r>
        <w:instrText>SEQ Πίνακας \* ARABIC</w:instrText>
      </w:r>
      <w:r w:rsidR="00B061D7">
        <w:fldChar w:fldCharType="separate"/>
      </w:r>
      <w:r w:rsidR="001D06AA">
        <w:rPr>
          <w:noProof/>
        </w:rPr>
        <w:t>10</w:t>
      </w:r>
      <w:r w:rsidR="00B061D7">
        <w:fldChar w:fldCharType="end"/>
      </w:r>
      <w:r>
        <w:t xml:space="preserve"> Κατανομή της επίδρασης του COVID 19 στο δείγμα της έρευνας</w:t>
      </w:r>
      <w:bookmarkEnd w:id="48"/>
    </w:p>
    <w:tbl>
      <w:tblPr>
        <w:tblW w:w="7640" w:type="dxa"/>
        <w:jc w:val="center"/>
        <w:tblBorders>
          <w:top w:val="single" w:sz="4" w:space="0" w:color="000001"/>
          <w:bottom w:val="single" w:sz="4" w:space="0" w:color="000001"/>
          <w:insideH w:val="single" w:sz="4" w:space="0" w:color="000001"/>
        </w:tblBorders>
        <w:tblLook w:val="04A0"/>
      </w:tblPr>
      <w:tblGrid>
        <w:gridCol w:w="4300"/>
        <w:gridCol w:w="1350"/>
        <w:gridCol w:w="996"/>
        <w:gridCol w:w="994"/>
      </w:tblGrid>
      <w:tr w:rsidR="001B3514">
        <w:trPr>
          <w:trHeight w:val="264"/>
          <w:jc w:val="center"/>
        </w:trPr>
        <w:tc>
          <w:tcPr>
            <w:tcW w:w="5649" w:type="dxa"/>
            <w:gridSpan w:val="2"/>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w:t>
            </w:r>
          </w:p>
        </w:tc>
        <w:tc>
          <w:tcPr>
            <w:tcW w:w="99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w:t>
            </w:r>
          </w:p>
        </w:tc>
        <w:tc>
          <w:tcPr>
            <w:tcW w:w="99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xml:space="preserve"> %</w:t>
            </w:r>
          </w:p>
        </w:tc>
      </w:tr>
      <w:tr w:rsidR="001B3514">
        <w:trPr>
          <w:trHeight w:val="264"/>
          <w:jc w:val="center"/>
        </w:trPr>
        <w:tc>
          <w:tcPr>
            <w:tcW w:w="430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Πόσο επηρέασε ο COVID 19 την οικογένειά σας;</w:t>
            </w:r>
          </w:p>
        </w:tc>
        <w:tc>
          <w:tcPr>
            <w:tcW w:w="135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Καθόλου</w:t>
            </w:r>
          </w:p>
        </w:tc>
        <w:tc>
          <w:tcPr>
            <w:tcW w:w="996" w:type="dxa"/>
            <w:tcBorders>
              <w:top w:val="single" w:sz="4" w:space="0" w:color="000001"/>
              <w:bottom w:val="single" w:sz="4" w:space="0" w:color="000001"/>
            </w:tcBorders>
            <w:shd w:val="clear" w:color="auto" w:fill="auto"/>
          </w:tcPr>
          <w:p w:rsidR="001B3514" w:rsidRDefault="00782E3E">
            <w:pPr>
              <w:pStyle w:val="ad"/>
              <w:rPr>
                <w:lang w:eastAsia="el-GR"/>
              </w:rPr>
            </w:pPr>
            <w:r>
              <w:rPr>
                <w:lang w:eastAsia="el-GR"/>
              </w:rPr>
              <w:t>22</w:t>
            </w:r>
          </w:p>
        </w:tc>
        <w:tc>
          <w:tcPr>
            <w:tcW w:w="993" w:type="dxa"/>
            <w:tcBorders>
              <w:top w:val="single" w:sz="4" w:space="0" w:color="000001"/>
              <w:bottom w:val="single" w:sz="4" w:space="0" w:color="000001"/>
            </w:tcBorders>
            <w:shd w:val="clear" w:color="auto" w:fill="auto"/>
          </w:tcPr>
          <w:p w:rsidR="001B3514" w:rsidRDefault="00782E3E">
            <w:pPr>
              <w:pStyle w:val="ad"/>
              <w:rPr>
                <w:lang w:eastAsia="el-GR"/>
              </w:rPr>
            </w:pPr>
            <w:r>
              <w:rPr>
                <w:lang w:eastAsia="el-GR"/>
              </w:rPr>
              <w:t>22.0%</w:t>
            </w:r>
          </w:p>
        </w:tc>
      </w:tr>
      <w:tr w:rsidR="001B3514">
        <w:trPr>
          <w:trHeight w:val="264"/>
          <w:jc w:val="center"/>
        </w:trPr>
        <w:tc>
          <w:tcPr>
            <w:tcW w:w="430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35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Λίγο</w:t>
            </w:r>
          </w:p>
        </w:tc>
        <w:tc>
          <w:tcPr>
            <w:tcW w:w="996" w:type="dxa"/>
            <w:tcBorders>
              <w:top w:val="single" w:sz="4" w:space="0" w:color="000001"/>
              <w:bottom w:val="single" w:sz="4" w:space="0" w:color="000001"/>
            </w:tcBorders>
            <w:shd w:val="clear" w:color="auto" w:fill="auto"/>
          </w:tcPr>
          <w:p w:rsidR="001B3514" w:rsidRDefault="00782E3E">
            <w:pPr>
              <w:pStyle w:val="ad"/>
              <w:rPr>
                <w:lang w:eastAsia="el-GR"/>
              </w:rPr>
            </w:pPr>
            <w:r>
              <w:rPr>
                <w:lang w:eastAsia="el-GR"/>
              </w:rPr>
              <w:t>17</w:t>
            </w:r>
          </w:p>
        </w:tc>
        <w:tc>
          <w:tcPr>
            <w:tcW w:w="993" w:type="dxa"/>
            <w:tcBorders>
              <w:top w:val="single" w:sz="4" w:space="0" w:color="000001"/>
              <w:bottom w:val="single" w:sz="4" w:space="0" w:color="000001"/>
            </w:tcBorders>
            <w:shd w:val="clear" w:color="auto" w:fill="auto"/>
          </w:tcPr>
          <w:p w:rsidR="001B3514" w:rsidRDefault="00782E3E">
            <w:pPr>
              <w:pStyle w:val="ad"/>
              <w:rPr>
                <w:lang w:eastAsia="el-GR"/>
              </w:rPr>
            </w:pPr>
            <w:r>
              <w:rPr>
                <w:lang w:eastAsia="el-GR"/>
              </w:rPr>
              <w:t>17.0%</w:t>
            </w:r>
          </w:p>
        </w:tc>
      </w:tr>
      <w:tr w:rsidR="001B3514">
        <w:trPr>
          <w:trHeight w:val="264"/>
          <w:jc w:val="center"/>
        </w:trPr>
        <w:tc>
          <w:tcPr>
            <w:tcW w:w="430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35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Μέτρια</w:t>
            </w:r>
          </w:p>
        </w:tc>
        <w:tc>
          <w:tcPr>
            <w:tcW w:w="996" w:type="dxa"/>
            <w:tcBorders>
              <w:top w:val="single" w:sz="4" w:space="0" w:color="000001"/>
              <w:bottom w:val="single" w:sz="4" w:space="0" w:color="000001"/>
            </w:tcBorders>
            <w:shd w:val="clear" w:color="auto" w:fill="auto"/>
          </w:tcPr>
          <w:p w:rsidR="001B3514" w:rsidRDefault="00782E3E">
            <w:pPr>
              <w:pStyle w:val="ad"/>
              <w:rPr>
                <w:lang w:eastAsia="el-GR"/>
              </w:rPr>
            </w:pPr>
            <w:r>
              <w:rPr>
                <w:lang w:eastAsia="el-GR"/>
              </w:rPr>
              <w:t>25</w:t>
            </w:r>
          </w:p>
        </w:tc>
        <w:tc>
          <w:tcPr>
            <w:tcW w:w="993" w:type="dxa"/>
            <w:tcBorders>
              <w:top w:val="single" w:sz="4" w:space="0" w:color="000001"/>
              <w:bottom w:val="single" w:sz="4" w:space="0" w:color="000001"/>
            </w:tcBorders>
            <w:shd w:val="clear" w:color="auto" w:fill="auto"/>
          </w:tcPr>
          <w:p w:rsidR="001B3514" w:rsidRDefault="00782E3E">
            <w:pPr>
              <w:pStyle w:val="ad"/>
              <w:rPr>
                <w:lang w:eastAsia="el-GR"/>
              </w:rPr>
            </w:pPr>
            <w:r>
              <w:rPr>
                <w:lang w:eastAsia="el-GR"/>
              </w:rPr>
              <w:t>25.0%</w:t>
            </w:r>
          </w:p>
        </w:tc>
      </w:tr>
      <w:tr w:rsidR="001B3514">
        <w:trPr>
          <w:trHeight w:val="264"/>
          <w:jc w:val="center"/>
        </w:trPr>
        <w:tc>
          <w:tcPr>
            <w:tcW w:w="430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35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Πολύ</w:t>
            </w:r>
          </w:p>
        </w:tc>
        <w:tc>
          <w:tcPr>
            <w:tcW w:w="996" w:type="dxa"/>
            <w:tcBorders>
              <w:top w:val="single" w:sz="4" w:space="0" w:color="000001"/>
              <w:bottom w:val="single" w:sz="4" w:space="0" w:color="000001"/>
            </w:tcBorders>
            <w:shd w:val="clear" w:color="auto" w:fill="auto"/>
          </w:tcPr>
          <w:p w:rsidR="001B3514" w:rsidRDefault="00782E3E">
            <w:pPr>
              <w:pStyle w:val="ad"/>
              <w:rPr>
                <w:lang w:eastAsia="el-GR"/>
              </w:rPr>
            </w:pPr>
            <w:r>
              <w:rPr>
                <w:lang w:eastAsia="el-GR"/>
              </w:rPr>
              <w:t>10</w:t>
            </w:r>
          </w:p>
        </w:tc>
        <w:tc>
          <w:tcPr>
            <w:tcW w:w="993" w:type="dxa"/>
            <w:tcBorders>
              <w:top w:val="single" w:sz="4" w:space="0" w:color="000001"/>
              <w:bottom w:val="single" w:sz="4" w:space="0" w:color="000001"/>
            </w:tcBorders>
            <w:shd w:val="clear" w:color="auto" w:fill="auto"/>
          </w:tcPr>
          <w:p w:rsidR="001B3514" w:rsidRDefault="00782E3E">
            <w:pPr>
              <w:pStyle w:val="ad"/>
              <w:rPr>
                <w:lang w:eastAsia="el-GR"/>
              </w:rPr>
            </w:pPr>
            <w:r>
              <w:rPr>
                <w:lang w:eastAsia="el-GR"/>
              </w:rPr>
              <w:t>10.0%</w:t>
            </w:r>
          </w:p>
        </w:tc>
      </w:tr>
      <w:tr w:rsidR="001B3514">
        <w:trPr>
          <w:trHeight w:val="264"/>
          <w:jc w:val="center"/>
        </w:trPr>
        <w:tc>
          <w:tcPr>
            <w:tcW w:w="430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35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Πάρα πολύ</w:t>
            </w:r>
          </w:p>
        </w:tc>
        <w:tc>
          <w:tcPr>
            <w:tcW w:w="996" w:type="dxa"/>
            <w:tcBorders>
              <w:top w:val="single" w:sz="4" w:space="0" w:color="000001"/>
              <w:bottom w:val="single" w:sz="4" w:space="0" w:color="000001"/>
            </w:tcBorders>
            <w:shd w:val="clear" w:color="auto" w:fill="auto"/>
          </w:tcPr>
          <w:p w:rsidR="001B3514" w:rsidRDefault="00782E3E">
            <w:pPr>
              <w:pStyle w:val="ad"/>
              <w:rPr>
                <w:lang w:eastAsia="el-GR"/>
              </w:rPr>
            </w:pPr>
            <w:r>
              <w:rPr>
                <w:lang w:eastAsia="el-GR"/>
              </w:rPr>
              <w:t>26</w:t>
            </w:r>
          </w:p>
        </w:tc>
        <w:tc>
          <w:tcPr>
            <w:tcW w:w="993" w:type="dxa"/>
            <w:tcBorders>
              <w:top w:val="single" w:sz="4" w:space="0" w:color="000001"/>
              <w:bottom w:val="single" w:sz="4" w:space="0" w:color="000001"/>
            </w:tcBorders>
            <w:shd w:val="clear" w:color="auto" w:fill="auto"/>
          </w:tcPr>
          <w:p w:rsidR="001B3514" w:rsidRDefault="00782E3E">
            <w:pPr>
              <w:pStyle w:val="ad"/>
              <w:rPr>
                <w:lang w:eastAsia="el-GR"/>
              </w:rPr>
            </w:pPr>
            <w:r>
              <w:rPr>
                <w:lang w:eastAsia="el-GR"/>
              </w:rPr>
              <w:t>26.0%</w:t>
            </w:r>
          </w:p>
        </w:tc>
      </w:tr>
      <w:tr w:rsidR="001B3514">
        <w:trPr>
          <w:trHeight w:val="264"/>
          <w:jc w:val="center"/>
        </w:trPr>
        <w:tc>
          <w:tcPr>
            <w:tcW w:w="4300"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 </w:t>
            </w:r>
          </w:p>
        </w:tc>
        <w:tc>
          <w:tcPr>
            <w:tcW w:w="1350"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Σύνολο</w:t>
            </w:r>
          </w:p>
        </w:tc>
        <w:tc>
          <w:tcPr>
            <w:tcW w:w="996"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100</w:t>
            </w:r>
          </w:p>
        </w:tc>
        <w:tc>
          <w:tcPr>
            <w:tcW w:w="993"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100.0%</w:t>
            </w:r>
          </w:p>
        </w:tc>
      </w:tr>
      <w:tr w:rsidR="001B3514">
        <w:trPr>
          <w:trHeight w:val="264"/>
          <w:jc w:val="center"/>
        </w:trPr>
        <w:tc>
          <w:tcPr>
            <w:tcW w:w="430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Πόσο επηρέασε ο COVID 19 γενικά την υγεία σας;</w:t>
            </w:r>
          </w:p>
        </w:tc>
        <w:tc>
          <w:tcPr>
            <w:tcW w:w="135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Καθόλου</w:t>
            </w:r>
          </w:p>
        </w:tc>
        <w:tc>
          <w:tcPr>
            <w:tcW w:w="996" w:type="dxa"/>
            <w:tcBorders>
              <w:top w:val="single" w:sz="4" w:space="0" w:color="000001"/>
              <w:bottom w:val="single" w:sz="4" w:space="0" w:color="000001"/>
            </w:tcBorders>
            <w:shd w:val="clear" w:color="auto" w:fill="auto"/>
          </w:tcPr>
          <w:p w:rsidR="001B3514" w:rsidRDefault="00782E3E">
            <w:pPr>
              <w:pStyle w:val="ad"/>
              <w:rPr>
                <w:lang w:eastAsia="el-GR"/>
              </w:rPr>
            </w:pPr>
            <w:r>
              <w:rPr>
                <w:lang w:eastAsia="el-GR"/>
              </w:rPr>
              <w:t>53</w:t>
            </w:r>
          </w:p>
        </w:tc>
        <w:tc>
          <w:tcPr>
            <w:tcW w:w="993" w:type="dxa"/>
            <w:tcBorders>
              <w:top w:val="single" w:sz="4" w:space="0" w:color="000001"/>
              <w:bottom w:val="single" w:sz="4" w:space="0" w:color="000001"/>
            </w:tcBorders>
            <w:shd w:val="clear" w:color="auto" w:fill="auto"/>
          </w:tcPr>
          <w:p w:rsidR="001B3514" w:rsidRDefault="00782E3E">
            <w:pPr>
              <w:pStyle w:val="ad"/>
              <w:rPr>
                <w:lang w:eastAsia="el-GR"/>
              </w:rPr>
            </w:pPr>
            <w:r>
              <w:rPr>
                <w:lang w:eastAsia="el-GR"/>
              </w:rPr>
              <w:t>53.0%</w:t>
            </w:r>
          </w:p>
        </w:tc>
      </w:tr>
      <w:tr w:rsidR="001B3514">
        <w:trPr>
          <w:trHeight w:val="264"/>
          <w:jc w:val="center"/>
        </w:trPr>
        <w:tc>
          <w:tcPr>
            <w:tcW w:w="430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35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Λίγο</w:t>
            </w:r>
          </w:p>
        </w:tc>
        <w:tc>
          <w:tcPr>
            <w:tcW w:w="996" w:type="dxa"/>
            <w:tcBorders>
              <w:top w:val="single" w:sz="4" w:space="0" w:color="000001"/>
              <w:bottom w:val="single" w:sz="4" w:space="0" w:color="000001"/>
            </w:tcBorders>
            <w:shd w:val="clear" w:color="auto" w:fill="auto"/>
          </w:tcPr>
          <w:p w:rsidR="001B3514" w:rsidRDefault="00782E3E">
            <w:pPr>
              <w:pStyle w:val="ad"/>
              <w:rPr>
                <w:lang w:eastAsia="el-GR"/>
              </w:rPr>
            </w:pPr>
            <w:r>
              <w:rPr>
                <w:lang w:eastAsia="el-GR"/>
              </w:rPr>
              <w:t>22</w:t>
            </w:r>
          </w:p>
        </w:tc>
        <w:tc>
          <w:tcPr>
            <w:tcW w:w="993" w:type="dxa"/>
            <w:tcBorders>
              <w:top w:val="single" w:sz="4" w:space="0" w:color="000001"/>
              <w:bottom w:val="single" w:sz="4" w:space="0" w:color="000001"/>
            </w:tcBorders>
            <w:shd w:val="clear" w:color="auto" w:fill="auto"/>
          </w:tcPr>
          <w:p w:rsidR="001B3514" w:rsidRDefault="00782E3E">
            <w:pPr>
              <w:pStyle w:val="ad"/>
              <w:rPr>
                <w:lang w:eastAsia="el-GR"/>
              </w:rPr>
            </w:pPr>
            <w:r>
              <w:rPr>
                <w:lang w:eastAsia="el-GR"/>
              </w:rPr>
              <w:t>22.0%</w:t>
            </w:r>
          </w:p>
        </w:tc>
      </w:tr>
      <w:tr w:rsidR="001B3514">
        <w:trPr>
          <w:trHeight w:val="264"/>
          <w:jc w:val="center"/>
        </w:trPr>
        <w:tc>
          <w:tcPr>
            <w:tcW w:w="430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35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Μέτρια</w:t>
            </w:r>
          </w:p>
        </w:tc>
        <w:tc>
          <w:tcPr>
            <w:tcW w:w="996" w:type="dxa"/>
            <w:tcBorders>
              <w:top w:val="single" w:sz="4" w:space="0" w:color="000001"/>
              <w:bottom w:val="single" w:sz="4" w:space="0" w:color="000001"/>
            </w:tcBorders>
            <w:shd w:val="clear" w:color="auto" w:fill="auto"/>
          </w:tcPr>
          <w:p w:rsidR="001B3514" w:rsidRDefault="00782E3E">
            <w:pPr>
              <w:pStyle w:val="ad"/>
              <w:rPr>
                <w:lang w:eastAsia="el-GR"/>
              </w:rPr>
            </w:pPr>
            <w:r>
              <w:rPr>
                <w:lang w:eastAsia="el-GR"/>
              </w:rPr>
              <w:t>9</w:t>
            </w:r>
          </w:p>
        </w:tc>
        <w:tc>
          <w:tcPr>
            <w:tcW w:w="993" w:type="dxa"/>
            <w:tcBorders>
              <w:top w:val="single" w:sz="4" w:space="0" w:color="000001"/>
              <w:bottom w:val="single" w:sz="4" w:space="0" w:color="000001"/>
            </w:tcBorders>
            <w:shd w:val="clear" w:color="auto" w:fill="auto"/>
          </w:tcPr>
          <w:p w:rsidR="001B3514" w:rsidRDefault="00782E3E">
            <w:pPr>
              <w:pStyle w:val="ad"/>
              <w:rPr>
                <w:lang w:eastAsia="el-GR"/>
              </w:rPr>
            </w:pPr>
            <w:r>
              <w:rPr>
                <w:lang w:eastAsia="el-GR"/>
              </w:rPr>
              <w:t>9.0%</w:t>
            </w:r>
          </w:p>
        </w:tc>
      </w:tr>
      <w:tr w:rsidR="001B3514">
        <w:trPr>
          <w:trHeight w:val="264"/>
          <w:jc w:val="center"/>
        </w:trPr>
        <w:tc>
          <w:tcPr>
            <w:tcW w:w="430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35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Πολύ</w:t>
            </w:r>
          </w:p>
        </w:tc>
        <w:tc>
          <w:tcPr>
            <w:tcW w:w="996" w:type="dxa"/>
            <w:tcBorders>
              <w:top w:val="single" w:sz="4" w:space="0" w:color="000001"/>
              <w:bottom w:val="single" w:sz="4" w:space="0" w:color="000001"/>
            </w:tcBorders>
            <w:shd w:val="clear" w:color="auto" w:fill="auto"/>
          </w:tcPr>
          <w:p w:rsidR="001B3514" w:rsidRDefault="00782E3E">
            <w:pPr>
              <w:pStyle w:val="ad"/>
              <w:rPr>
                <w:lang w:eastAsia="el-GR"/>
              </w:rPr>
            </w:pPr>
            <w:r>
              <w:rPr>
                <w:lang w:eastAsia="el-GR"/>
              </w:rPr>
              <w:t>2</w:t>
            </w:r>
          </w:p>
        </w:tc>
        <w:tc>
          <w:tcPr>
            <w:tcW w:w="993" w:type="dxa"/>
            <w:tcBorders>
              <w:top w:val="single" w:sz="4" w:space="0" w:color="000001"/>
              <w:bottom w:val="single" w:sz="4" w:space="0" w:color="000001"/>
            </w:tcBorders>
            <w:shd w:val="clear" w:color="auto" w:fill="auto"/>
          </w:tcPr>
          <w:p w:rsidR="001B3514" w:rsidRDefault="00782E3E">
            <w:pPr>
              <w:pStyle w:val="ad"/>
              <w:rPr>
                <w:lang w:eastAsia="el-GR"/>
              </w:rPr>
            </w:pPr>
            <w:r>
              <w:rPr>
                <w:lang w:eastAsia="el-GR"/>
              </w:rPr>
              <w:t>2.0%</w:t>
            </w:r>
          </w:p>
        </w:tc>
      </w:tr>
      <w:tr w:rsidR="001B3514">
        <w:trPr>
          <w:trHeight w:val="264"/>
          <w:jc w:val="center"/>
        </w:trPr>
        <w:tc>
          <w:tcPr>
            <w:tcW w:w="430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35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Πάρα πολύ</w:t>
            </w:r>
          </w:p>
        </w:tc>
        <w:tc>
          <w:tcPr>
            <w:tcW w:w="996" w:type="dxa"/>
            <w:tcBorders>
              <w:top w:val="single" w:sz="4" w:space="0" w:color="000001"/>
              <w:bottom w:val="single" w:sz="4" w:space="0" w:color="000001"/>
            </w:tcBorders>
            <w:shd w:val="clear" w:color="auto" w:fill="auto"/>
          </w:tcPr>
          <w:p w:rsidR="001B3514" w:rsidRDefault="00782E3E">
            <w:pPr>
              <w:pStyle w:val="ad"/>
              <w:rPr>
                <w:lang w:eastAsia="el-GR"/>
              </w:rPr>
            </w:pPr>
            <w:r>
              <w:rPr>
                <w:lang w:eastAsia="el-GR"/>
              </w:rPr>
              <w:t>14</w:t>
            </w:r>
          </w:p>
        </w:tc>
        <w:tc>
          <w:tcPr>
            <w:tcW w:w="993" w:type="dxa"/>
            <w:tcBorders>
              <w:top w:val="single" w:sz="4" w:space="0" w:color="000001"/>
              <w:bottom w:val="single" w:sz="4" w:space="0" w:color="000001"/>
            </w:tcBorders>
            <w:shd w:val="clear" w:color="auto" w:fill="auto"/>
          </w:tcPr>
          <w:p w:rsidR="001B3514" w:rsidRDefault="00782E3E">
            <w:pPr>
              <w:pStyle w:val="ad"/>
              <w:rPr>
                <w:lang w:eastAsia="el-GR"/>
              </w:rPr>
            </w:pPr>
            <w:r>
              <w:rPr>
                <w:lang w:eastAsia="el-GR"/>
              </w:rPr>
              <w:t>14.0%</w:t>
            </w:r>
          </w:p>
        </w:tc>
      </w:tr>
      <w:tr w:rsidR="001B3514">
        <w:trPr>
          <w:trHeight w:val="264"/>
          <w:jc w:val="center"/>
        </w:trPr>
        <w:tc>
          <w:tcPr>
            <w:tcW w:w="4300"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 </w:t>
            </w:r>
          </w:p>
        </w:tc>
        <w:tc>
          <w:tcPr>
            <w:tcW w:w="1350"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Σύνολο</w:t>
            </w:r>
          </w:p>
        </w:tc>
        <w:tc>
          <w:tcPr>
            <w:tcW w:w="996"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100</w:t>
            </w:r>
          </w:p>
        </w:tc>
        <w:tc>
          <w:tcPr>
            <w:tcW w:w="993"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100.0%</w:t>
            </w:r>
          </w:p>
        </w:tc>
      </w:tr>
      <w:tr w:rsidR="001B3514">
        <w:trPr>
          <w:trHeight w:val="264"/>
          <w:jc w:val="center"/>
        </w:trPr>
        <w:tc>
          <w:tcPr>
            <w:tcW w:w="430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Πόσο επηρέασε  ο COVID 19 τη θεραπεία σας;</w:t>
            </w:r>
          </w:p>
        </w:tc>
        <w:tc>
          <w:tcPr>
            <w:tcW w:w="135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Καθόλου</w:t>
            </w:r>
          </w:p>
        </w:tc>
        <w:tc>
          <w:tcPr>
            <w:tcW w:w="996" w:type="dxa"/>
            <w:tcBorders>
              <w:top w:val="single" w:sz="4" w:space="0" w:color="000001"/>
              <w:bottom w:val="single" w:sz="4" w:space="0" w:color="000001"/>
            </w:tcBorders>
            <w:shd w:val="clear" w:color="auto" w:fill="auto"/>
          </w:tcPr>
          <w:p w:rsidR="001B3514" w:rsidRDefault="00782E3E">
            <w:pPr>
              <w:pStyle w:val="ad"/>
              <w:rPr>
                <w:lang w:eastAsia="el-GR"/>
              </w:rPr>
            </w:pPr>
            <w:r>
              <w:rPr>
                <w:lang w:eastAsia="el-GR"/>
              </w:rPr>
              <w:t>69</w:t>
            </w:r>
          </w:p>
        </w:tc>
        <w:tc>
          <w:tcPr>
            <w:tcW w:w="993" w:type="dxa"/>
            <w:tcBorders>
              <w:top w:val="single" w:sz="4" w:space="0" w:color="000001"/>
              <w:bottom w:val="single" w:sz="4" w:space="0" w:color="000001"/>
            </w:tcBorders>
            <w:shd w:val="clear" w:color="auto" w:fill="auto"/>
          </w:tcPr>
          <w:p w:rsidR="001B3514" w:rsidRDefault="00782E3E">
            <w:pPr>
              <w:pStyle w:val="ad"/>
              <w:rPr>
                <w:lang w:eastAsia="el-GR"/>
              </w:rPr>
            </w:pPr>
            <w:r>
              <w:rPr>
                <w:lang w:eastAsia="el-GR"/>
              </w:rPr>
              <w:t>69.0%</w:t>
            </w:r>
          </w:p>
        </w:tc>
      </w:tr>
      <w:tr w:rsidR="001B3514">
        <w:trPr>
          <w:trHeight w:val="264"/>
          <w:jc w:val="center"/>
        </w:trPr>
        <w:tc>
          <w:tcPr>
            <w:tcW w:w="430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35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Λίγο</w:t>
            </w:r>
          </w:p>
        </w:tc>
        <w:tc>
          <w:tcPr>
            <w:tcW w:w="996" w:type="dxa"/>
            <w:tcBorders>
              <w:top w:val="single" w:sz="4" w:space="0" w:color="000001"/>
              <w:bottom w:val="single" w:sz="4" w:space="0" w:color="000001"/>
            </w:tcBorders>
            <w:shd w:val="clear" w:color="auto" w:fill="auto"/>
          </w:tcPr>
          <w:p w:rsidR="001B3514" w:rsidRDefault="00782E3E">
            <w:pPr>
              <w:pStyle w:val="ad"/>
              <w:rPr>
                <w:lang w:eastAsia="el-GR"/>
              </w:rPr>
            </w:pPr>
            <w:r>
              <w:rPr>
                <w:lang w:eastAsia="el-GR"/>
              </w:rPr>
              <w:t>16</w:t>
            </w:r>
          </w:p>
        </w:tc>
        <w:tc>
          <w:tcPr>
            <w:tcW w:w="993" w:type="dxa"/>
            <w:tcBorders>
              <w:top w:val="single" w:sz="4" w:space="0" w:color="000001"/>
              <w:bottom w:val="single" w:sz="4" w:space="0" w:color="000001"/>
            </w:tcBorders>
            <w:shd w:val="clear" w:color="auto" w:fill="auto"/>
          </w:tcPr>
          <w:p w:rsidR="001B3514" w:rsidRDefault="00782E3E">
            <w:pPr>
              <w:pStyle w:val="ad"/>
              <w:rPr>
                <w:lang w:eastAsia="el-GR"/>
              </w:rPr>
            </w:pPr>
            <w:r>
              <w:rPr>
                <w:lang w:eastAsia="el-GR"/>
              </w:rPr>
              <w:t>16.0%</w:t>
            </w:r>
          </w:p>
        </w:tc>
      </w:tr>
      <w:tr w:rsidR="001B3514">
        <w:trPr>
          <w:trHeight w:val="264"/>
          <w:jc w:val="center"/>
        </w:trPr>
        <w:tc>
          <w:tcPr>
            <w:tcW w:w="430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35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Μέτρια</w:t>
            </w:r>
          </w:p>
        </w:tc>
        <w:tc>
          <w:tcPr>
            <w:tcW w:w="996" w:type="dxa"/>
            <w:tcBorders>
              <w:top w:val="single" w:sz="4" w:space="0" w:color="000001"/>
              <w:bottom w:val="single" w:sz="4" w:space="0" w:color="000001"/>
            </w:tcBorders>
            <w:shd w:val="clear" w:color="auto" w:fill="auto"/>
          </w:tcPr>
          <w:p w:rsidR="001B3514" w:rsidRDefault="00782E3E">
            <w:pPr>
              <w:pStyle w:val="ad"/>
              <w:rPr>
                <w:lang w:eastAsia="el-GR"/>
              </w:rPr>
            </w:pPr>
            <w:r>
              <w:rPr>
                <w:lang w:eastAsia="el-GR"/>
              </w:rPr>
              <w:t>8</w:t>
            </w:r>
          </w:p>
        </w:tc>
        <w:tc>
          <w:tcPr>
            <w:tcW w:w="993" w:type="dxa"/>
            <w:tcBorders>
              <w:top w:val="single" w:sz="4" w:space="0" w:color="000001"/>
              <w:bottom w:val="single" w:sz="4" w:space="0" w:color="000001"/>
            </w:tcBorders>
            <w:shd w:val="clear" w:color="auto" w:fill="auto"/>
          </w:tcPr>
          <w:p w:rsidR="001B3514" w:rsidRDefault="00782E3E">
            <w:pPr>
              <w:pStyle w:val="ad"/>
              <w:rPr>
                <w:lang w:eastAsia="el-GR"/>
              </w:rPr>
            </w:pPr>
            <w:r>
              <w:rPr>
                <w:lang w:eastAsia="el-GR"/>
              </w:rPr>
              <w:t>8.0%</w:t>
            </w:r>
          </w:p>
        </w:tc>
      </w:tr>
      <w:tr w:rsidR="001B3514">
        <w:trPr>
          <w:trHeight w:val="264"/>
          <w:jc w:val="center"/>
        </w:trPr>
        <w:tc>
          <w:tcPr>
            <w:tcW w:w="430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35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Πολύ</w:t>
            </w:r>
          </w:p>
        </w:tc>
        <w:tc>
          <w:tcPr>
            <w:tcW w:w="996" w:type="dxa"/>
            <w:tcBorders>
              <w:top w:val="single" w:sz="4" w:space="0" w:color="000001"/>
              <w:bottom w:val="single" w:sz="4" w:space="0" w:color="000001"/>
            </w:tcBorders>
            <w:shd w:val="clear" w:color="auto" w:fill="auto"/>
          </w:tcPr>
          <w:p w:rsidR="001B3514" w:rsidRDefault="00782E3E">
            <w:pPr>
              <w:pStyle w:val="ad"/>
              <w:rPr>
                <w:lang w:eastAsia="el-GR"/>
              </w:rPr>
            </w:pPr>
            <w:r>
              <w:rPr>
                <w:lang w:eastAsia="el-GR"/>
              </w:rPr>
              <w:t>2</w:t>
            </w:r>
          </w:p>
        </w:tc>
        <w:tc>
          <w:tcPr>
            <w:tcW w:w="993" w:type="dxa"/>
            <w:tcBorders>
              <w:top w:val="single" w:sz="4" w:space="0" w:color="000001"/>
              <w:bottom w:val="single" w:sz="4" w:space="0" w:color="000001"/>
            </w:tcBorders>
            <w:shd w:val="clear" w:color="auto" w:fill="auto"/>
          </w:tcPr>
          <w:p w:rsidR="001B3514" w:rsidRDefault="00782E3E">
            <w:pPr>
              <w:pStyle w:val="ad"/>
              <w:rPr>
                <w:lang w:eastAsia="el-GR"/>
              </w:rPr>
            </w:pPr>
            <w:r>
              <w:rPr>
                <w:lang w:eastAsia="el-GR"/>
              </w:rPr>
              <w:t>2.0%</w:t>
            </w:r>
          </w:p>
        </w:tc>
      </w:tr>
      <w:tr w:rsidR="001B3514">
        <w:trPr>
          <w:trHeight w:val="264"/>
          <w:jc w:val="center"/>
        </w:trPr>
        <w:tc>
          <w:tcPr>
            <w:tcW w:w="430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35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Πάρα πολύ</w:t>
            </w:r>
          </w:p>
        </w:tc>
        <w:tc>
          <w:tcPr>
            <w:tcW w:w="996" w:type="dxa"/>
            <w:tcBorders>
              <w:top w:val="single" w:sz="4" w:space="0" w:color="000001"/>
              <w:bottom w:val="single" w:sz="4" w:space="0" w:color="000001"/>
            </w:tcBorders>
            <w:shd w:val="clear" w:color="auto" w:fill="auto"/>
          </w:tcPr>
          <w:p w:rsidR="001B3514" w:rsidRDefault="00782E3E">
            <w:pPr>
              <w:pStyle w:val="ad"/>
              <w:rPr>
                <w:lang w:eastAsia="el-GR"/>
              </w:rPr>
            </w:pPr>
            <w:r>
              <w:rPr>
                <w:lang w:eastAsia="el-GR"/>
              </w:rPr>
              <w:t>5</w:t>
            </w:r>
          </w:p>
        </w:tc>
        <w:tc>
          <w:tcPr>
            <w:tcW w:w="993" w:type="dxa"/>
            <w:tcBorders>
              <w:top w:val="single" w:sz="4" w:space="0" w:color="000001"/>
              <w:bottom w:val="single" w:sz="4" w:space="0" w:color="000001"/>
            </w:tcBorders>
            <w:shd w:val="clear" w:color="auto" w:fill="auto"/>
          </w:tcPr>
          <w:p w:rsidR="001B3514" w:rsidRDefault="00782E3E">
            <w:pPr>
              <w:pStyle w:val="ad"/>
              <w:rPr>
                <w:lang w:eastAsia="el-GR"/>
              </w:rPr>
            </w:pPr>
            <w:r>
              <w:rPr>
                <w:lang w:eastAsia="el-GR"/>
              </w:rPr>
              <w:t>5.0%</w:t>
            </w:r>
          </w:p>
        </w:tc>
      </w:tr>
      <w:tr w:rsidR="001B3514">
        <w:trPr>
          <w:trHeight w:val="264"/>
          <w:jc w:val="center"/>
        </w:trPr>
        <w:tc>
          <w:tcPr>
            <w:tcW w:w="4300"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 </w:t>
            </w:r>
          </w:p>
        </w:tc>
        <w:tc>
          <w:tcPr>
            <w:tcW w:w="1350"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Σύνολο</w:t>
            </w:r>
          </w:p>
        </w:tc>
        <w:tc>
          <w:tcPr>
            <w:tcW w:w="996"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100</w:t>
            </w:r>
          </w:p>
        </w:tc>
        <w:tc>
          <w:tcPr>
            <w:tcW w:w="993"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100.0%</w:t>
            </w:r>
          </w:p>
        </w:tc>
      </w:tr>
      <w:tr w:rsidR="001B3514">
        <w:trPr>
          <w:trHeight w:val="264"/>
          <w:jc w:val="center"/>
        </w:trPr>
        <w:tc>
          <w:tcPr>
            <w:tcW w:w="430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Πόσο επηρέασε  ο COVID 19 την υπέρτασή σας;</w:t>
            </w:r>
          </w:p>
        </w:tc>
        <w:tc>
          <w:tcPr>
            <w:tcW w:w="135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Καθόλου</w:t>
            </w:r>
          </w:p>
        </w:tc>
        <w:tc>
          <w:tcPr>
            <w:tcW w:w="996" w:type="dxa"/>
            <w:tcBorders>
              <w:top w:val="single" w:sz="4" w:space="0" w:color="000001"/>
              <w:bottom w:val="single" w:sz="4" w:space="0" w:color="000001"/>
            </w:tcBorders>
            <w:shd w:val="clear" w:color="auto" w:fill="auto"/>
          </w:tcPr>
          <w:p w:rsidR="001B3514" w:rsidRDefault="00782E3E">
            <w:pPr>
              <w:pStyle w:val="ad"/>
              <w:rPr>
                <w:lang w:eastAsia="el-GR"/>
              </w:rPr>
            </w:pPr>
            <w:r>
              <w:rPr>
                <w:lang w:eastAsia="el-GR"/>
              </w:rPr>
              <w:t>72</w:t>
            </w:r>
          </w:p>
        </w:tc>
        <w:tc>
          <w:tcPr>
            <w:tcW w:w="993" w:type="dxa"/>
            <w:tcBorders>
              <w:top w:val="single" w:sz="4" w:space="0" w:color="000001"/>
              <w:bottom w:val="single" w:sz="4" w:space="0" w:color="000001"/>
            </w:tcBorders>
            <w:shd w:val="clear" w:color="auto" w:fill="auto"/>
          </w:tcPr>
          <w:p w:rsidR="001B3514" w:rsidRDefault="00782E3E">
            <w:pPr>
              <w:pStyle w:val="ad"/>
              <w:rPr>
                <w:lang w:eastAsia="el-GR"/>
              </w:rPr>
            </w:pPr>
            <w:r>
              <w:rPr>
                <w:lang w:eastAsia="el-GR"/>
              </w:rPr>
              <w:t>72.0%</w:t>
            </w:r>
          </w:p>
        </w:tc>
      </w:tr>
      <w:tr w:rsidR="001B3514">
        <w:trPr>
          <w:trHeight w:val="264"/>
          <w:jc w:val="center"/>
        </w:trPr>
        <w:tc>
          <w:tcPr>
            <w:tcW w:w="430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35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Λίγο</w:t>
            </w:r>
          </w:p>
        </w:tc>
        <w:tc>
          <w:tcPr>
            <w:tcW w:w="996" w:type="dxa"/>
            <w:tcBorders>
              <w:top w:val="single" w:sz="4" w:space="0" w:color="000001"/>
              <w:bottom w:val="single" w:sz="4" w:space="0" w:color="000001"/>
            </w:tcBorders>
            <w:shd w:val="clear" w:color="auto" w:fill="auto"/>
          </w:tcPr>
          <w:p w:rsidR="001B3514" w:rsidRDefault="00782E3E">
            <w:pPr>
              <w:pStyle w:val="ad"/>
              <w:rPr>
                <w:lang w:eastAsia="el-GR"/>
              </w:rPr>
            </w:pPr>
            <w:r>
              <w:rPr>
                <w:lang w:eastAsia="el-GR"/>
              </w:rPr>
              <w:t>14</w:t>
            </w:r>
          </w:p>
        </w:tc>
        <w:tc>
          <w:tcPr>
            <w:tcW w:w="993" w:type="dxa"/>
            <w:tcBorders>
              <w:top w:val="single" w:sz="4" w:space="0" w:color="000001"/>
              <w:bottom w:val="single" w:sz="4" w:space="0" w:color="000001"/>
            </w:tcBorders>
            <w:shd w:val="clear" w:color="auto" w:fill="auto"/>
          </w:tcPr>
          <w:p w:rsidR="001B3514" w:rsidRDefault="00782E3E">
            <w:pPr>
              <w:pStyle w:val="ad"/>
              <w:rPr>
                <w:lang w:eastAsia="el-GR"/>
              </w:rPr>
            </w:pPr>
            <w:r>
              <w:rPr>
                <w:lang w:eastAsia="el-GR"/>
              </w:rPr>
              <w:t>14.0%</w:t>
            </w:r>
          </w:p>
        </w:tc>
      </w:tr>
      <w:tr w:rsidR="001B3514">
        <w:trPr>
          <w:trHeight w:val="264"/>
          <w:jc w:val="center"/>
        </w:trPr>
        <w:tc>
          <w:tcPr>
            <w:tcW w:w="430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35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Μέτρια</w:t>
            </w:r>
          </w:p>
        </w:tc>
        <w:tc>
          <w:tcPr>
            <w:tcW w:w="996" w:type="dxa"/>
            <w:tcBorders>
              <w:top w:val="single" w:sz="4" w:space="0" w:color="000001"/>
              <w:bottom w:val="single" w:sz="4" w:space="0" w:color="000001"/>
            </w:tcBorders>
            <w:shd w:val="clear" w:color="auto" w:fill="auto"/>
          </w:tcPr>
          <w:p w:rsidR="001B3514" w:rsidRDefault="00782E3E">
            <w:pPr>
              <w:pStyle w:val="ad"/>
              <w:rPr>
                <w:lang w:eastAsia="el-GR"/>
              </w:rPr>
            </w:pPr>
            <w:r>
              <w:rPr>
                <w:lang w:eastAsia="el-GR"/>
              </w:rPr>
              <w:t>4</w:t>
            </w:r>
          </w:p>
        </w:tc>
        <w:tc>
          <w:tcPr>
            <w:tcW w:w="993" w:type="dxa"/>
            <w:tcBorders>
              <w:top w:val="single" w:sz="4" w:space="0" w:color="000001"/>
              <w:bottom w:val="single" w:sz="4" w:space="0" w:color="000001"/>
            </w:tcBorders>
            <w:shd w:val="clear" w:color="auto" w:fill="auto"/>
          </w:tcPr>
          <w:p w:rsidR="001B3514" w:rsidRDefault="00782E3E">
            <w:pPr>
              <w:pStyle w:val="ad"/>
              <w:rPr>
                <w:lang w:eastAsia="el-GR"/>
              </w:rPr>
            </w:pPr>
            <w:r>
              <w:rPr>
                <w:lang w:eastAsia="el-GR"/>
              </w:rPr>
              <w:t>4.0%</w:t>
            </w:r>
          </w:p>
        </w:tc>
      </w:tr>
      <w:tr w:rsidR="001B3514">
        <w:trPr>
          <w:trHeight w:val="264"/>
          <w:jc w:val="center"/>
        </w:trPr>
        <w:tc>
          <w:tcPr>
            <w:tcW w:w="430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35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Πολύ</w:t>
            </w:r>
          </w:p>
        </w:tc>
        <w:tc>
          <w:tcPr>
            <w:tcW w:w="996" w:type="dxa"/>
            <w:tcBorders>
              <w:top w:val="single" w:sz="4" w:space="0" w:color="000001"/>
              <w:bottom w:val="single" w:sz="4" w:space="0" w:color="000001"/>
            </w:tcBorders>
            <w:shd w:val="clear" w:color="auto" w:fill="auto"/>
          </w:tcPr>
          <w:p w:rsidR="001B3514" w:rsidRDefault="00782E3E">
            <w:pPr>
              <w:pStyle w:val="ad"/>
              <w:rPr>
                <w:lang w:eastAsia="el-GR"/>
              </w:rPr>
            </w:pPr>
            <w:r>
              <w:rPr>
                <w:lang w:eastAsia="el-GR"/>
              </w:rPr>
              <w:t>5</w:t>
            </w:r>
          </w:p>
        </w:tc>
        <w:tc>
          <w:tcPr>
            <w:tcW w:w="993" w:type="dxa"/>
            <w:tcBorders>
              <w:top w:val="single" w:sz="4" w:space="0" w:color="000001"/>
              <w:bottom w:val="single" w:sz="4" w:space="0" w:color="000001"/>
            </w:tcBorders>
            <w:shd w:val="clear" w:color="auto" w:fill="auto"/>
          </w:tcPr>
          <w:p w:rsidR="001B3514" w:rsidRDefault="00782E3E">
            <w:pPr>
              <w:pStyle w:val="ad"/>
              <w:rPr>
                <w:lang w:eastAsia="el-GR"/>
              </w:rPr>
            </w:pPr>
            <w:r>
              <w:rPr>
                <w:lang w:eastAsia="el-GR"/>
              </w:rPr>
              <w:t>5.0%</w:t>
            </w:r>
          </w:p>
        </w:tc>
      </w:tr>
      <w:tr w:rsidR="001B3514">
        <w:trPr>
          <w:trHeight w:val="264"/>
          <w:jc w:val="center"/>
        </w:trPr>
        <w:tc>
          <w:tcPr>
            <w:tcW w:w="430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35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Πάρα πολύ</w:t>
            </w:r>
          </w:p>
        </w:tc>
        <w:tc>
          <w:tcPr>
            <w:tcW w:w="996" w:type="dxa"/>
            <w:tcBorders>
              <w:top w:val="single" w:sz="4" w:space="0" w:color="000001"/>
              <w:bottom w:val="single" w:sz="4" w:space="0" w:color="000001"/>
            </w:tcBorders>
            <w:shd w:val="clear" w:color="auto" w:fill="auto"/>
          </w:tcPr>
          <w:p w:rsidR="001B3514" w:rsidRDefault="00782E3E">
            <w:pPr>
              <w:pStyle w:val="ad"/>
              <w:rPr>
                <w:lang w:eastAsia="el-GR"/>
              </w:rPr>
            </w:pPr>
            <w:r>
              <w:rPr>
                <w:lang w:eastAsia="el-GR"/>
              </w:rPr>
              <w:t>5</w:t>
            </w:r>
          </w:p>
        </w:tc>
        <w:tc>
          <w:tcPr>
            <w:tcW w:w="993" w:type="dxa"/>
            <w:tcBorders>
              <w:top w:val="single" w:sz="4" w:space="0" w:color="000001"/>
              <w:bottom w:val="single" w:sz="4" w:space="0" w:color="000001"/>
            </w:tcBorders>
            <w:shd w:val="clear" w:color="auto" w:fill="auto"/>
          </w:tcPr>
          <w:p w:rsidR="001B3514" w:rsidRDefault="00782E3E">
            <w:pPr>
              <w:pStyle w:val="ad"/>
              <w:rPr>
                <w:lang w:eastAsia="el-GR"/>
              </w:rPr>
            </w:pPr>
            <w:r>
              <w:rPr>
                <w:lang w:eastAsia="el-GR"/>
              </w:rPr>
              <w:t>5.0%</w:t>
            </w:r>
          </w:p>
        </w:tc>
      </w:tr>
      <w:tr w:rsidR="001B3514">
        <w:trPr>
          <w:trHeight w:val="264"/>
          <w:jc w:val="center"/>
        </w:trPr>
        <w:tc>
          <w:tcPr>
            <w:tcW w:w="4300"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 </w:t>
            </w:r>
          </w:p>
        </w:tc>
        <w:tc>
          <w:tcPr>
            <w:tcW w:w="1350"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Σύνολο</w:t>
            </w:r>
          </w:p>
        </w:tc>
        <w:tc>
          <w:tcPr>
            <w:tcW w:w="996"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100</w:t>
            </w:r>
          </w:p>
        </w:tc>
        <w:tc>
          <w:tcPr>
            <w:tcW w:w="993"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100.0%</w:t>
            </w:r>
          </w:p>
        </w:tc>
      </w:tr>
    </w:tbl>
    <w:p w:rsidR="001B3514" w:rsidRDefault="00782E3E">
      <w:pPr>
        <w:rPr>
          <w:lang w:eastAsia="zh-CN" w:bidi="hi-IN"/>
        </w:rPr>
      </w:pPr>
      <w:r>
        <w:rPr>
          <w:lang w:eastAsia="zh-CN" w:bidi="hi-IN"/>
        </w:rPr>
        <w:t>Σύμφωνα με τον παραπάνω πίνακα στην ερώτηση «Πόσο επηρέασε ο COVID 19 την οικογένειά σας;» 36 (36%) εκ των ερωτηθέντων απάντησαν πάρα πολύ και πολύ, στην ερώτηση «Πόσο επηρέασε ο COVID 19 γενικά την υγεία σας;» 53 (53%) εκ των ερωτηθέντων απάντησαν καθόλου και 2 (2%) απάντησαν πολύ. Στην ερώτηση «Πόσο επηρέασε  ο COVID 19 τη θεραπεία σας;» 69 (69%) εκ των ερωτηθέντων απάντησαν καθόλου και 2 (2%) απάντησαν πολύ. Στην ερώτηση «Πόσο επηρέασε ο COVID 19 την υπέρτασή σας;» 72 (72%) εκ των ερωτηθέντων απάντησαν καθόλου και 4 (4%) απάντησαν μέτρια.</w:t>
      </w:r>
    </w:p>
    <w:p w:rsidR="001B3514" w:rsidRDefault="001B3514">
      <w:pPr>
        <w:spacing w:line="259" w:lineRule="auto"/>
        <w:jc w:val="left"/>
        <w:rPr>
          <w:lang w:eastAsia="zh-CN" w:bidi="hi-IN"/>
        </w:rPr>
      </w:pPr>
    </w:p>
    <w:p w:rsidR="001B3514" w:rsidRDefault="00782E3E">
      <w:pPr>
        <w:pStyle w:val="aa"/>
        <w:keepNext/>
      </w:pPr>
      <w:bookmarkStart w:id="49" w:name="_Toc64641818"/>
      <w:r>
        <w:t xml:space="preserve">Πίνακας </w:t>
      </w:r>
      <w:r w:rsidR="00B061D7">
        <w:fldChar w:fldCharType="begin"/>
      </w:r>
      <w:r>
        <w:instrText>SEQ Πίνακας \* ARABIC</w:instrText>
      </w:r>
      <w:r w:rsidR="00B061D7">
        <w:fldChar w:fldCharType="separate"/>
      </w:r>
      <w:r w:rsidR="001D06AA">
        <w:rPr>
          <w:noProof/>
        </w:rPr>
        <w:t>11</w:t>
      </w:r>
      <w:r w:rsidR="00B061D7">
        <w:fldChar w:fldCharType="end"/>
      </w:r>
      <w:r>
        <w:t xml:space="preserve"> Μέση τιμή της ηλικίας, του εισοδήματος του πλήθους αδερφών και της αγωγής του δείγματος</w:t>
      </w:r>
      <w:bookmarkEnd w:id="49"/>
    </w:p>
    <w:tbl>
      <w:tblPr>
        <w:tblW w:w="8556" w:type="dxa"/>
        <w:jc w:val="center"/>
        <w:tblBorders>
          <w:top w:val="single" w:sz="4" w:space="0" w:color="000001"/>
          <w:bottom w:val="single" w:sz="4" w:space="0" w:color="000001"/>
          <w:insideH w:val="single" w:sz="4" w:space="0" w:color="000001"/>
        </w:tblBorders>
        <w:tblLook w:val="04A0"/>
      </w:tblPr>
      <w:tblGrid>
        <w:gridCol w:w="4692"/>
        <w:gridCol w:w="966"/>
        <w:gridCol w:w="966"/>
        <w:gridCol w:w="966"/>
        <w:gridCol w:w="966"/>
      </w:tblGrid>
      <w:tr w:rsidR="001B3514">
        <w:trPr>
          <w:trHeight w:val="228"/>
          <w:jc w:val="center"/>
        </w:trPr>
        <w:tc>
          <w:tcPr>
            <w:tcW w:w="469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w:t>
            </w:r>
          </w:p>
        </w:tc>
        <w:tc>
          <w:tcPr>
            <w:tcW w:w="96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Min</w:t>
            </w:r>
          </w:p>
        </w:tc>
        <w:tc>
          <w:tcPr>
            <w:tcW w:w="96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Mean</w:t>
            </w:r>
          </w:p>
        </w:tc>
        <w:tc>
          <w:tcPr>
            <w:tcW w:w="96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SD</w:t>
            </w:r>
          </w:p>
        </w:tc>
        <w:tc>
          <w:tcPr>
            <w:tcW w:w="96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Max</w:t>
            </w:r>
          </w:p>
        </w:tc>
      </w:tr>
      <w:tr w:rsidR="001B3514">
        <w:trPr>
          <w:trHeight w:val="228"/>
          <w:jc w:val="center"/>
        </w:trPr>
        <w:tc>
          <w:tcPr>
            <w:tcW w:w="469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Ηλικία</w:t>
            </w:r>
          </w:p>
        </w:tc>
        <w:tc>
          <w:tcPr>
            <w:tcW w:w="96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21</w:t>
            </w:r>
          </w:p>
        </w:tc>
        <w:tc>
          <w:tcPr>
            <w:tcW w:w="96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62</w:t>
            </w:r>
          </w:p>
        </w:tc>
        <w:tc>
          <w:tcPr>
            <w:tcW w:w="96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17</w:t>
            </w:r>
          </w:p>
        </w:tc>
        <w:tc>
          <w:tcPr>
            <w:tcW w:w="96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89</w:t>
            </w:r>
          </w:p>
        </w:tc>
      </w:tr>
      <w:tr w:rsidR="001B3514">
        <w:trPr>
          <w:trHeight w:val="360"/>
          <w:jc w:val="center"/>
        </w:trPr>
        <w:tc>
          <w:tcPr>
            <w:tcW w:w="469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Αν είστε άνεργος, πόσο χρόνο είστε άνεργος;</w:t>
            </w:r>
          </w:p>
        </w:tc>
        <w:tc>
          <w:tcPr>
            <w:tcW w:w="96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w:t>
            </w:r>
          </w:p>
        </w:tc>
        <w:tc>
          <w:tcPr>
            <w:tcW w:w="96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5</w:t>
            </w:r>
          </w:p>
        </w:tc>
        <w:tc>
          <w:tcPr>
            <w:tcW w:w="96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5</w:t>
            </w:r>
          </w:p>
        </w:tc>
        <w:tc>
          <w:tcPr>
            <w:tcW w:w="96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16</w:t>
            </w:r>
          </w:p>
        </w:tc>
      </w:tr>
      <w:tr w:rsidR="001B3514">
        <w:trPr>
          <w:trHeight w:val="228"/>
          <w:jc w:val="center"/>
        </w:trPr>
        <w:tc>
          <w:tcPr>
            <w:tcW w:w="469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lastRenderedPageBreak/>
              <w:t>Πόσα χρήματα βγάζετε περίπου το μήνα;</w:t>
            </w:r>
          </w:p>
        </w:tc>
        <w:tc>
          <w:tcPr>
            <w:tcW w:w="96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200</w:t>
            </w:r>
          </w:p>
        </w:tc>
        <w:tc>
          <w:tcPr>
            <w:tcW w:w="96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834</w:t>
            </w:r>
          </w:p>
        </w:tc>
        <w:tc>
          <w:tcPr>
            <w:tcW w:w="96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560</w:t>
            </w:r>
          </w:p>
        </w:tc>
        <w:tc>
          <w:tcPr>
            <w:tcW w:w="96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4500</w:t>
            </w:r>
          </w:p>
        </w:tc>
      </w:tr>
      <w:tr w:rsidR="001B3514">
        <w:trPr>
          <w:trHeight w:val="228"/>
          <w:jc w:val="center"/>
        </w:trPr>
        <w:tc>
          <w:tcPr>
            <w:tcW w:w="469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Πόσα χρήματα βγάζετε με τον/την σύντροφό σας το μήνα;</w:t>
            </w:r>
          </w:p>
        </w:tc>
        <w:tc>
          <w:tcPr>
            <w:tcW w:w="96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400</w:t>
            </w:r>
          </w:p>
        </w:tc>
        <w:tc>
          <w:tcPr>
            <w:tcW w:w="96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1791</w:t>
            </w:r>
          </w:p>
        </w:tc>
        <w:tc>
          <w:tcPr>
            <w:tcW w:w="96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1421</w:t>
            </w:r>
          </w:p>
        </w:tc>
        <w:tc>
          <w:tcPr>
            <w:tcW w:w="96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9000</w:t>
            </w:r>
          </w:p>
        </w:tc>
      </w:tr>
      <w:tr w:rsidR="001B3514">
        <w:trPr>
          <w:trHeight w:val="228"/>
          <w:jc w:val="center"/>
        </w:trPr>
        <w:tc>
          <w:tcPr>
            <w:tcW w:w="469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Πόσες αδερφές έχετε;</w:t>
            </w:r>
          </w:p>
        </w:tc>
        <w:tc>
          <w:tcPr>
            <w:tcW w:w="96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w:t>
            </w:r>
          </w:p>
        </w:tc>
        <w:tc>
          <w:tcPr>
            <w:tcW w:w="96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w:t>
            </w:r>
          </w:p>
        </w:tc>
        <w:tc>
          <w:tcPr>
            <w:tcW w:w="96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w:t>
            </w:r>
          </w:p>
        </w:tc>
        <w:tc>
          <w:tcPr>
            <w:tcW w:w="96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5</w:t>
            </w:r>
          </w:p>
        </w:tc>
      </w:tr>
      <w:tr w:rsidR="001B3514">
        <w:trPr>
          <w:trHeight w:val="228"/>
          <w:jc w:val="center"/>
        </w:trPr>
        <w:tc>
          <w:tcPr>
            <w:tcW w:w="469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Πόσους αδερφούς έχετε;</w:t>
            </w:r>
          </w:p>
        </w:tc>
        <w:tc>
          <w:tcPr>
            <w:tcW w:w="96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w:t>
            </w:r>
          </w:p>
        </w:tc>
        <w:tc>
          <w:tcPr>
            <w:tcW w:w="96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w:t>
            </w:r>
          </w:p>
        </w:tc>
        <w:tc>
          <w:tcPr>
            <w:tcW w:w="96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w:t>
            </w:r>
          </w:p>
        </w:tc>
        <w:tc>
          <w:tcPr>
            <w:tcW w:w="96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4</w:t>
            </w:r>
          </w:p>
        </w:tc>
      </w:tr>
      <w:tr w:rsidR="001B3514">
        <w:trPr>
          <w:trHeight w:val="228"/>
          <w:jc w:val="center"/>
        </w:trPr>
        <w:tc>
          <w:tcPr>
            <w:tcW w:w="469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Πόσα παιδιά έχετε;</w:t>
            </w:r>
          </w:p>
        </w:tc>
        <w:tc>
          <w:tcPr>
            <w:tcW w:w="96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w:t>
            </w:r>
          </w:p>
        </w:tc>
        <w:tc>
          <w:tcPr>
            <w:tcW w:w="96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w:t>
            </w:r>
          </w:p>
        </w:tc>
        <w:tc>
          <w:tcPr>
            <w:tcW w:w="96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w:t>
            </w:r>
          </w:p>
        </w:tc>
        <w:tc>
          <w:tcPr>
            <w:tcW w:w="96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4</w:t>
            </w:r>
          </w:p>
        </w:tc>
      </w:tr>
      <w:tr w:rsidR="001B3514">
        <w:trPr>
          <w:trHeight w:val="228"/>
          <w:jc w:val="center"/>
        </w:trPr>
        <w:tc>
          <w:tcPr>
            <w:tcW w:w="469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Πόσο καιρό έχετε υπέρταση;</w:t>
            </w:r>
          </w:p>
        </w:tc>
        <w:tc>
          <w:tcPr>
            <w:tcW w:w="96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w:t>
            </w:r>
          </w:p>
        </w:tc>
        <w:tc>
          <w:tcPr>
            <w:tcW w:w="96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10</w:t>
            </w:r>
          </w:p>
        </w:tc>
        <w:tc>
          <w:tcPr>
            <w:tcW w:w="96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8</w:t>
            </w:r>
          </w:p>
        </w:tc>
        <w:tc>
          <w:tcPr>
            <w:tcW w:w="96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30</w:t>
            </w:r>
          </w:p>
        </w:tc>
      </w:tr>
      <w:tr w:rsidR="001B3514">
        <w:trPr>
          <w:trHeight w:val="228"/>
          <w:jc w:val="center"/>
        </w:trPr>
        <w:tc>
          <w:tcPr>
            <w:tcW w:w="4692"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Πόσα φάρμακα παίρνετε για την υπέρταση;</w:t>
            </w:r>
          </w:p>
        </w:tc>
        <w:tc>
          <w:tcPr>
            <w:tcW w:w="966"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0</w:t>
            </w:r>
          </w:p>
        </w:tc>
        <w:tc>
          <w:tcPr>
            <w:tcW w:w="966"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1</w:t>
            </w:r>
          </w:p>
        </w:tc>
        <w:tc>
          <w:tcPr>
            <w:tcW w:w="966"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1</w:t>
            </w:r>
          </w:p>
        </w:tc>
        <w:tc>
          <w:tcPr>
            <w:tcW w:w="966"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5</w:t>
            </w:r>
          </w:p>
        </w:tc>
      </w:tr>
    </w:tbl>
    <w:p w:rsidR="001B3514" w:rsidRDefault="00782E3E">
      <w:pPr>
        <w:rPr>
          <w:lang w:eastAsia="zh-CN" w:bidi="hi-IN"/>
        </w:rPr>
      </w:pPr>
      <w:r>
        <w:rPr>
          <w:lang w:eastAsia="zh-CN" w:bidi="hi-IN"/>
        </w:rPr>
        <w:t>Από τον παραπάνω πίνακα φαίνεται πως η μέση τιμή της ηλικίας του δείγματος είναι τα 62 έτη με τυπική απόκλιση 17 ετών. Στην ερώτηση «Αν είστε άνεργος, πόσο χρόνο είστε άνεργος;» η μέση τιμή είναι 5 και η τυπική απόκλιση 5. Στην ερώτηση «Πόσα χρήματα βγάζετε περίπου το μήνα;» η μέση τιμή είναι 834 ευρώ και η τυπική απόκλιση είναι 560 ευρώ, ενώ στην ερώτηση «Πόσα χρήματα βγάζετε με τον/την σύντροφό σας το μήνα;» η μέση τιμή είναι 1791 και η τυπική απόκλιση είναι 1421 ευρώ. Στην ερώτηση «Πόσες αδερφές έχετε;» η μέση τιμή είναι 2 και η τυπική απόκλιση 1, ενώ στην ερώτηση «Πόσους αδερφούς έχετε;» η μέση τιμή είναι 1 με τυπική απόκλιση 1. Στην ερώτηση «Πόσα παιδιά έχετε;»</w:t>
      </w:r>
      <w:r>
        <w:t xml:space="preserve"> </w:t>
      </w:r>
      <w:r>
        <w:rPr>
          <w:lang w:eastAsia="zh-CN" w:bidi="hi-IN"/>
        </w:rPr>
        <w:t>η μέση τιμή είναι 2 και η τυπική απόκλιση 1. Στην ερώτηση «Πόσο καιρό έχετε υπέρταση;» η μέση τιμή των απαντήσεων είναι τα 10 έτη και η τυπική απόκλιση είναι 8, ενώ στην ερώτηση «Πόσα φάρμακα παίρνετε για την υπέρταση;» η μέση τιμή είναι 1 με τυπική απόκλιση 1.</w:t>
      </w:r>
    </w:p>
    <w:p w:rsidR="001B3514" w:rsidRDefault="001B3514">
      <w:pPr>
        <w:rPr>
          <w:lang w:eastAsia="zh-CN" w:bidi="hi-IN"/>
        </w:rPr>
      </w:pPr>
    </w:p>
    <w:p w:rsidR="001B3514" w:rsidRDefault="00782E3E">
      <w:pPr>
        <w:pStyle w:val="aa"/>
        <w:keepNext/>
      </w:pPr>
      <w:bookmarkStart w:id="50" w:name="_Toc64641819"/>
      <w:r>
        <w:t xml:space="preserve">Πίνακας </w:t>
      </w:r>
      <w:r w:rsidR="00B061D7">
        <w:fldChar w:fldCharType="begin"/>
      </w:r>
      <w:r>
        <w:instrText>SEQ Πίνακας \* ARABIC</w:instrText>
      </w:r>
      <w:r w:rsidR="00B061D7">
        <w:fldChar w:fldCharType="separate"/>
      </w:r>
      <w:r w:rsidR="001D06AA">
        <w:rPr>
          <w:noProof/>
        </w:rPr>
        <w:t>12</w:t>
      </w:r>
      <w:r w:rsidR="00B061D7">
        <w:fldChar w:fldCharType="end"/>
      </w:r>
      <w:r>
        <w:t xml:space="preserve"> Μέση τιμή των κλιμάκων BMQ, MMAS, SCL90 και EPQ</w:t>
      </w:r>
      <w:bookmarkEnd w:id="50"/>
    </w:p>
    <w:tbl>
      <w:tblPr>
        <w:tblW w:w="7553" w:type="dxa"/>
        <w:jc w:val="center"/>
        <w:tblBorders>
          <w:top w:val="single" w:sz="4" w:space="0" w:color="000001"/>
          <w:bottom w:val="single" w:sz="4" w:space="0" w:color="000001"/>
          <w:insideH w:val="single" w:sz="4" w:space="0" w:color="000001"/>
        </w:tblBorders>
        <w:tblLook w:val="04A0"/>
      </w:tblPr>
      <w:tblGrid>
        <w:gridCol w:w="3580"/>
        <w:gridCol w:w="993"/>
        <w:gridCol w:w="993"/>
        <w:gridCol w:w="993"/>
        <w:gridCol w:w="994"/>
      </w:tblGrid>
      <w:tr w:rsidR="001B3514">
        <w:trPr>
          <w:trHeight w:val="211"/>
          <w:jc w:val="center"/>
        </w:trPr>
        <w:tc>
          <w:tcPr>
            <w:tcW w:w="358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w:t>
            </w:r>
          </w:p>
        </w:tc>
        <w:tc>
          <w:tcPr>
            <w:tcW w:w="99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Min</w:t>
            </w:r>
          </w:p>
        </w:tc>
        <w:tc>
          <w:tcPr>
            <w:tcW w:w="99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Mean</w:t>
            </w:r>
          </w:p>
        </w:tc>
        <w:tc>
          <w:tcPr>
            <w:tcW w:w="99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SD</w:t>
            </w:r>
          </w:p>
        </w:tc>
        <w:tc>
          <w:tcPr>
            <w:tcW w:w="99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Max</w:t>
            </w:r>
          </w:p>
        </w:tc>
      </w:tr>
      <w:tr w:rsidR="001B3514">
        <w:trPr>
          <w:trHeight w:val="337"/>
          <w:jc w:val="center"/>
        </w:trPr>
        <w:tc>
          <w:tcPr>
            <w:tcW w:w="358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Οι απόψεις σας για τα φάρμακα γενικά (BMQ12 General)</w:t>
            </w:r>
          </w:p>
        </w:tc>
        <w:tc>
          <w:tcPr>
            <w:tcW w:w="99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1.5</w:t>
            </w:r>
          </w:p>
        </w:tc>
        <w:tc>
          <w:tcPr>
            <w:tcW w:w="99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3.2</w:t>
            </w:r>
          </w:p>
        </w:tc>
        <w:tc>
          <w:tcPr>
            <w:tcW w:w="99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0.5</w:t>
            </w:r>
          </w:p>
        </w:tc>
        <w:tc>
          <w:tcPr>
            <w:tcW w:w="99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4.7</w:t>
            </w:r>
          </w:p>
        </w:tc>
      </w:tr>
      <w:tr w:rsidR="001B3514">
        <w:trPr>
          <w:trHeight w:val="337"/>
          <w:jc w:val="center"/>
        </w:trPr>
        <w:tc>
          <w:tcPr>
            <w:tcW w:w="358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Οι απόψεις σας για τα φάρμακα που σας έγραψαν οι γιατροί σας (BMQ10)</w:t>
            </w:r>
          </w:p>
        </w:tc>
        <w:tc>
          <w:tcPr>
            <w:tcW w:w="99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1.0</w:t>
            </w:r>
          </w:p>
        </w:tc>
        <w:tc>
          <w:tcPr>
            <w:tcW w:w="99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3.0</w:t>
            </w:r>
          </w:p>
        </w:tc>
        <w:tc>
          <w:tcPr>
            <w:tcW w:w="99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0.7</w:t>
            </w:r>
          </w:p>
        </w:tc>
        <w:tc>
          <w:tcPr>
            <w:tcW w:w="99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4.5</w:t>
            </w:r>
          </w:p>
        </w:tc>
      </w:tr>
      <w:tr w:rsidR="001B3514">
        <w:trPr>
          <w:trHeight w:val="211"/>
          <w:jc w:val="center"/>
        </w:trPr>
        <w:tc>
          <w:tcPr>
            <w:tcW w:w="358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Morisky scale (MMAS8)</w:t>
            </w:r>
          </w:p>
        </w:tc>
        <w:tc>
          <w:tcPr>
            <w:tcW w:w="99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w:t>
            </w:r>
          </w:p>
        </w:tc>
        <w:tc>
          <w:tcPr>
            <w:tcW w:w="99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5.8</w:t>
            </w:r>
          </w:p>
        </w:tc>
        <w:tc>
          <w:tcPr>
            <w:tcW w:w="99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2.0</w:t>
            </w:r>
          </w:p>
        </w:tc>
        <w:tc>
          <w:tcPr>
            <w:tcW w:w="99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8.0</w:t>
            </w:r>
          </w:p>
        </w:tc>
      </w:tr>
      <w:tr w:rsidR="001B3514">
        <w:trPr>
          <w:trHeight w:val="211"/>
          <w:jc w:val="center"/>
        </w:trPr>
        <w:tc>
          <w:tcPr>
            <w:tcW w:w="358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Γενικός δείκτης συμπτωμάτων (SCL90)</w:t>
            </w:r>
          </w:p>
        </w:tc>
        <w:tc>
          <w:tcPr>
            <w:tcW w:w="99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w:t>
            </w:r>
          </w:p>
        </w:tc>
        <w:tc>
          <w:tcPr>
            <w:tcW w:w="99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0.8</w:t>
            </w:r>
          </w:p>
        </w:tc>
        <w:tc>
          <w:tcPr>
            <w:tcW w:w="99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0.6</w:t>
            </w:r>
          </w:p>
        </w:tc>
        <w:tc>
          <w:tcPr>
            <w:tcW w:w="99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3.3</w:t>
            </w:r>
          </w:p>
        </w:tc>
      </w:tr>
      <w:tr w:rsidR="001B3514">
        <w:trPr>
          <w:trHeight w:val="337"/>
          <w:jc w:val="center"/>
        </w:trPr>
        <w:tc>
          <w:tcPr>
            <w:tcW w:w="358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Σύνολο των θετικών συμπτωμάτων (SCL90)</w:t>
            </w:r>
          </w:p>
        </w:tc>
        <w:tc>
          <w:tcPr>
            <w:tcW w:w="99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1.0</w:t>
            </w:r>
          </w:p>
        </w:tc>
        <w:tc>
          <w:tcPr>
            <w:tcW w:w="99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40.6</w:t>
            </w:r>
          </w:p>
        </w:tc>
        <w:tc>
          <w:tcPr>
            <w:tcW w:w="99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20.9</w:t>
            </w:r>
          </w:p>
        </w:tc>
        <w:tc>
          <w:tcPr>
            <w:tcW w:w="99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86.0</w:t>
            </w:r>
          </w:p>
        </w:tc>
      </w:tr>
      <w:tr w:rsidR="001B3514">
        <w:trPr>
          <w:trHeight w:val="337"/>
          <w:jc w:val="center"/>
        </w:trPr>
        <w:tc>
          <w:tcPr>
            <w:tcW w:w="358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Δείκτης ενόχλησης των θετικών συμπτωμάτων (SCL90)</w:t>
            </w:r>
          </w:p>
        </w:tc>
        <w:tc>
          <w:tcPr>
            <w:tcW w:w="99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1.0</w:t>
            </w:r>
          </w:p>
        </w:tc>
        <w:tc>
          <w:tcPr>
            <w:tcW w:w="99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1.7</w:t>
            </w:r>
          </w:p>
        </w:tc>
        <w:tc>
          <w:tcPr>
            <w:tcW w:w="99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0.5</w:t>
            </w:r>
          </w:p>
        </w:tc>
        <w:tc>
          <w:tcPr>
            <w:tcW w:w="99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3.5</w:t>
            </w:r>
          </w:p>
        </w:tc>
      </w:tr>
      <w:tr w:rsidR="001B3514">
        <w:trPr>
          <w:trHeight w:val="211"/>
          <w:jc w:val="center"/>
        </w:trPr>
        <w:tc>
          <w:tcPr>
            <w:tcW w:w="358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Εξωστρέφεια (EPQ)</w:t>
            </w:r>
          </w:p>
        </w:tc>
        <w:tc>
          <w:tcPr>
            <w:tcW w:w="99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0.9</w:t>
            </w:r>
          </w:p>
        </w:tc>
        <w:tc>
          <w:tcPr>
            <w:tcW w:w="99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1.3</w:t>
            </w:r>
          </w:p>
        </w:tc>
        <w:tc>
          <w:tcPr>
            <w:tcW w:w="99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0.2</w:t>
            </w:r>
          </w:p>
        </w:tc>
        <w:tc>
          <w:tcPr>
            <w:tcW w:w="99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1.9</w:t>
            </w:r>
          </w:p>
        </w:tc>
      </w:tr>
      <w:tr w:rsidR="001B3514">
        <w:trPr>
          <w:trHeight w:val="211"/>
          <w:jc w:val="center"/>
        </w:trPr>
        <w:tc>
          <w:tcPr>
            <w:tcW w:w="358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Νευρωτισμός (EPQ)</w:t>
            </w:r>
          </w:p>
        </w:tc>
        <w:tc>
          <w:tcPr>
            <w:tcW w:w="99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1.0</w:t>
            </w:r>
          </w:p>
        </w:tc>
        <w:tc>
          <w:tcPr>
            <w:tcW w:w="99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1.5</w:t>
            </w:r>
          </w:p>
        </w:tc>
        <w:tc>
          <w:tcPr>
            <w:tcW w:w="99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0.2</w:t>
            </w:r>
          </w:p>
        </w:tc>
        <w:tc>
          <w:tcPr>
            <w:tcW w:w="99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1.9</w:t>
            </w:r>
          </w:p>
        </w:tc>
      </w:tr>
      <w:tr w:rsidR="001B3514">
        <w:trPr>
          <w:trHeight w:val="211"/>
          <w:jc w:val="center"/>
        </w:trPr>
        <w:tc>
          <w:tcPr>
            <w:tcW w:w="358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Ψυχωτισμός (EPQ)</w:t>
            </w:r>
          </w:p>
        </w:tc>
        <w:tc>
          <w:tcPr>
            <w:tcW w:w="99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0.9</w:t>
            </w:r>
          </w:p>
        </w:tc>
        <w:tc>
          <w:tcPr>
            <w:tcW w:w="99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1.1</w:t>
            </w:r>
          </w:p>
        </w:tc>
        <w:tc>
          <w:tcPr>
            <w:tcW w:w="99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0.1</w:t>
            </w:r>
          </w:p>
        </w:tc>
        <w:tc>
          <w:tcPr>
            <w:tcW w:w="99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1.4</w:t>
            </w:r>
          </w:p>
        </w:tc>
      </w:tr>
      <w:tr w:rsidR="001B3514">
        <w:trPr>
          <w:trHeight w:val="211"/>
          <w:jc w:val="center"/>
        </w:trPr>
        <w:tc>
          <w:tcPr>
            <w:tcW w:w="358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lastRenderedPageBreak/>
              <w:t>Κλίμακα Ψεύδους (EPQ)</w:t>
            </w:r>
          </w:p>
        </w:tc>
        <w:tc>
          <w:tcPr>
            <w:tcW w:w="99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0.6</w:t>
            </w:r>
          </w:p>
        </w:tc>
        <w:tc>
          <w:tcPr>
            <w:tcW w:w="99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0.9</w:t>
            </w:r>
          </w:p>
        </w:tc>
        <w:tc>
          <w:tcPr>
            <w:tcW w:w="99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0.2</w:t>
            </w:r>
          </w:p>
        </w:tc>
        <w:tc>
          <w:tcPr>
            <w:tcW w:w="99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1.4</w:t>
            </w:r>
          </w:p>
        </w:tc>
      </w:tr>
    </w:tbl>
    <w:p w:rsidR="001B3514" w:rsidRDefault="00782E3E">
      <w:pPr>
        <w:rPr>
          <w:lang w:eastAsia="zh-CN" w:bidi="hi-IN"/>
        </w:rPr>
      </w:pPr>
      <w:r>
        <w:rPr>
          <w:lang w:eastAsia="zh-CN" w:bidi="hi-IN"/>
        </w:rPr>
        <w:t>Αναφορικά με τον παραπάνω πίνακα στη μεταβλητή «Οι απόψεις σας για τα φάρμακα γενικά (BMQ12 General)» η μέση τιμή είναι 3.2 (</w:t>
      </w:r>
      <w:r>
        <w:rPr>
          <w:rFonts w:cs="Times New Roman"/>
          <w:lang w:eastAsia="zh-CN" w:bidi="hi-IN"/>
        </w:rPr>
        <w:t>±</w:t>
      </w:r>
      <w:r>
        <w:rPr>
          <w:lang w:eastAsia="zh-CN" w:bidi="hi-IN"/>
        </w:rPr>
        <w:t>0.5), ενώ στη μεταβλητή «Οι απόψεις σας για τα φάρμακα που σας έγραψαν οι γιατροί σας (BMQ10)» η μέση τιμή είναι 3 (±0.7). Στη μεταβλητή «Morisky scale (MMAS8)» η μέση τιμή είναι 5.8 (±2), ενώ στη μεταβλητή «Γενικός δείκτης συμπτωμάτων (SCL90)» η μέση τιμή είναι 0.8 (±0.6). Στη μεταβλητή «Σύνολο των θετικών συμπτωμάτων (SCL90)» η μέση τιμή είναι 40.6 (±20.9), ενώ στη μεταβλητή «Δείκτης ενόχλησης των θετικών συμπτωμάτων (SCL90)» η μέση τιμή είναι 1.7 (±0.5). Στη μεταβλητή «Εξωστρέφεια (EPQ)» η μέση τιμή είναι 1.3 (±0.2), ενώ στη μεταβλητή «Νευρωτισμός (EPQ)» η μέση τιμή είναι 1.5 (±0.2). Στη μεταβλητή «Ψυχωτισμός (EPQ)» η μέση τιμή είναι 1.1 (±0.1), ενώ στη μεταβλητή «Κλίμακα Ψεύδους (EPQ)» η μέση τιμή είναι 0.9 (±0.2).</w:t>
      </w:r>
      <w:bookmarkStart w:id="51" w:name="_Hlk64389732"/>
      <w:bookmarkEnd w:id="51"/>
    </w:p>
    <w:p w:rsidR="001B3514" w:rsidRDefault="00782E3E">
      <w:pPr>
        <w:spacing w:line="259" w:lineRule="auto"/>
        <w:jc w:val="left"/>
        <w:rPr>
          <w:lang w:eastAsia="zh-CN" w:bidi="hi-IN"/>
        </w:rPr>
      </w:pPr>
      <w:r>
        <w:br w:type="page"/>
      </w:r>
    </w:p>
    <w:p w:rsidR="001B3514" w:rsidRDefault="00782E3E">
      <w:pPr>
        <w:pStyle w:val="2"/>
        <w:rPr>
          <w:lang w:eastAsia="zh-CN" w:bidi="hi-IN"/>
        </w:rPr>
      </w:pPr>
      <w:bookmarkStart w:id="52" w:name="_Toc64641775"/>
      <w:r>
        <w:rPr>
          <w:lang w:eastAsia="zh-CN" w:bidi="hi-IN"/>
        </w:rPr>
        <w:lastRenderedPageBreak/>
        <w:t>6.2 Επαγωγική ανάλυση</w:t>
      </w:r>
      <w:bookmarkEnd w:id="52"/>
    </w:p>
    <w:p w:rsidR="001B3514" w:rsidRDefault="00782E3E">
      <w:pPr>
        <w:pStyle w:val="aa"/>
        <w:rPr>
          <w:lang w:eastAsia="zh-CN" w:bidi="hi-IN"/>
        </w:rPr>
      </w:pPr>
      <w:bookmarkStart w:id="53" w:name="_Toc64641820"/>
      <w:r>
        <w:t xml:space="preserve">Πίνακας </w:t>
      </w:r>
      <w:r w:rsidR="00B061D7">
        <w:fldChar w:fldCharType="begin"/>
      </w:r>
      <w:r>
        <w:instrText>SEQ Πίνακας \* ARABIC</w:instrText>
      </w:r>
      <w:r w:rsidR="00B061D7">
        <w:fldChar w:fldCharType="separate"/>
      </w:r>
      <w:r w:rsidR="001D06AA">
        <w:rPr>
          <w:noProof/>
        </w:rPr>
        <w:t>13</w:t>
      </w:r>
      <w:r w:rsidR="00B061D7">
        <w:fldChar w:fldCharType="end"/>
      </w:r>
      <w:r>
        <w:t xml:space="preserve"> Αποτελέσματα συσχέτισης του φύλου του δείγματος</w:t>
      </w:r>
      <w:bookmarkEnd w:id="53"/>
    </w:p>
    <w:tbl>
      <w:tblPr>
        <w:tblW w:w="9443" w:type="dxa"/>
        <w:jc w:val="center"/>
        <w:tblBorders>
          <w:top w:val="single" w:sz="4" w:space="0" w:color="000001"/>
          <w:bottom w:val="single" w:sz="4" w:space="0" w:color="000001"/>
          <w:insideH w:val="single" w:sz="4" w:space="0" w:color="000001"/>
        </w:tblBorders>
        <w:tblLook w:val="04A0"/>
      </w:tblPr>
      <w:tblGrid>
        <w:gridCol w:w="3008"/>
        <w:gridCol w:w="1020"/>
        <w:gridCol w:w="912"/>
        <w:gridCol w:w="918"/>
        <w:gridCol w:w="916"/>
        <w:gridCol w:w="918"/>
        <w:gridCol w:w="836"/>
        <w:gridCol w:w="915"/>
      </w:tblGrid>
      <w:tr w:rsidR="001B3514">
        <w:trPr>
          <w:trHeight w:val="261"/>
          <w:jc w:val="center"/>
        </w:trPr>
        <w:tc>
          <w:tcPr>
            <w:tcW w:w="303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Φύλο</w:t>
            </w:r>
          </w:p>
        </w:tc>
        <w:tc>
          <w:tcPr>
            <w:tcW w:w="95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w:t>
            </w:r>
          </w:p>
        </w:tc>
        <w:tc>
          <w:tcPr>
            <w:tcW w:w="92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N</w:t>
            </w:r>
          </w:p>
        </w:tc>
        <w:tc>
          <w:tcPr>
            <w:tcW w:w="92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Mean</w:t>
            </w:r>
          </w:p>
        </w:tc>
        <w:tc>
          <w:tcPr>
            <w:tcW w:w="92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SD</w:t>
            </w:r>
          </w:p>
        </w:tc>
        <w:tc>
          <w:tcPr>
            <w:tcW w:w="92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t</w:t>
            </w:r>
          </w:p>
        </w:tc>
        <w:tc>
          <w:tcPr>
            <w:tcW w:w="84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df</w:t>
            </w:r>
          </w:p>
        </w:tc>
        <w:tc>
          <w:tcPr>
            <w:tcW w:w="91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xml:space="preserve">Sig. </w:t>
            </w:r>
          </w:p>
        </w:tc>
      </w:tr>
      <w:tr w:rsidR="001B3514">
        <w:trPr>
          <w:trHeight w:val="261"/>
          <w:jc w:val="center"/>
        </w:trPr>
        <w:tc>
          <w:tcPr>
            <w:tcW w:w="3039"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Γενικός δείκτης συμπτωμάτων (SCL90)</w:t>
            </w:r>
          </w:p>
        </w:tc>
        <w:tc>
          <w:tcPr>
            <w:tcW w:w="95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Άντρας</w:t>
            </w:r>
          </w:p>
        </w:tc>
        <w:tc>
          <w:tcPr>
            <w:tcW w:w="92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43</w:t>
            </w:r>
          </w:p>
        </w:tc>
        <w:tc>
          <w:tcPr>
            <w:tcW w:w="92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0.6</w:t>
            </w:r>
          </w:p>
        </w:tc>
        <w:tc>
          <w:tcPr>
            <w:tcW w:w="92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0.4</w:t>
            </w:r>
          </w:p>
        </w:tc>
        <w:tc>
          <w:tcPr>
            <w:tcW w:w="922"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-2.507</w:t>
            </w:r>
          </w:p>
        </w:tc>
        <w:tc>
          <w:tcPr>
            <w:tcW w:w="844"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98</w:t>
            </w:r>
          </w:p>
        </w:tc>
        <w:tc>
          <w:tcPr>
            <w:tcW w:w="918"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0.014</w:t>
            </w:r>
          </w:p>
        </w:tc>
      </w:tr>
      <w:tr w:rsidR="001B3514">
        <w:trPr>
          <w:trHeight w:val="261"/>
          <w:jc w:val="center"/>
        </w:trPr>
        <w:tc>
          <w:tcPr>
            <w:tcW w:w="3039"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95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Γυναίκα</w:t>
            </w:r>
          </w:p>
        </w:tc>
        <w:tc>
          <w:tcPr>
            <w:tcW w:w="92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57</w:t>
            </w:r>
          </w:p>
        </w:tc>
        <w:tc>
          <w:tcPr>
            <w:tcW w:w="92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0.9</w:t>
            </w:r>
          </w:p>
        </w:tc>
        <w:tc>
          <w:tcPr>
            <w:tcW w:w="92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0.7</w:t>
            </w:r>
          </w:p>
        </w:tc>
        <w:tc>
          <w:tcPr>
            <w:tcW w:w="922"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844"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918"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r>
      <w:tr w:rsidR="001B3514">
        <w:trPr>
          <w:trHeight w:val="261"/>
          <w:jc w:val="center"/>
        </w:trPr>
        <w:tc>
          <w:tcPr>
            <w:tcW w:w="3039"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Σύνολο των θετικών συμπτωμάτων (SCL90)</w:t>
            </w:r>
          </w:p>
        </w:tc>
        <w:tc>
          <w:tcPr>
            <w:tcW w:w="95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Άντρας</w:t>
            </w:r>
          </w:p>
        </w:tc>
        <w:tc>
          <w:tcPr>
            <w:tcW w:w="92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43</w:t>
            </w:r>
          </w:p>
        </w:tc>
        <w:tc>
          <w:tcPr>
            <w:tcW w:w="92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35.3</w:t>
            </w:r>
          </w:p>
        </w:tc>
        <w:tc>
          <w:tcPr>
            <w:tcW w:w="92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18.0</w:t>
            </w:r>
          </w:p>
        </w:tc>
        <w:tc>
          <w:tcPr>
            <w:tcW w:w="922"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-2.227</w:t>
            </w:r>
          </w:p>
        </w:tc>
        <w:tc>
          <w:tcPr>
            <w:tcW w:w="844"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98</w:t>
            </w:r>
          </w:p>
        </w:tc>
        <w:tc>
          <w:tcPr>
            <w:tcW w:w="918"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0.028</w:t>
            </w:r>
          </w:p>
        </w:tc>
      </w:tr>
      <w:tr w:rsidR="001B3514">
        <w:trPr>
          <w:trHeight w:val="261"/>
          <w:jc w:val="center"/>
        </w:trPr>
        <w:tc>
          <w:tcPr>
            <w:tcW w:w="3039"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95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Γυναίκα</w:t>
            </w:r>
          </w:p>
        </w:tc>
        <w:tc>
          <w:tcPr>
            <w:tcW w:w="92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57</w:t>
            </w:r>
          </w:p>
        </w:tc>
        <w:tc>
          <w:tcPr>
            <w:tcW w:w="92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44.5</w:t>
            </w:r>
          </w:p>
        </w:tc>
        <w:tc>
          <w:tcPr>
            <w:tcW w:w="92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22.1</w:t>
            </w:r>
          </w:p>
        </w:tc>
        <w:tc>
          <w:tcPr>
            <w:tcW w:w="922"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844"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918"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r>
      <w:tr w:rsidR="001B3514">
        <w:trPr>
          <w:trHeight w:val="261"/>
          <w:jc w:val="center"/>
        </w:trPr>
        <w:tc>
          <w:tcPr>
            <w:tcW w:w="3039"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Νευρωτισμός (EPQ)</w:t>
            </w:r>
          </w:p>
        </w:tc>
        <w:tc>
          <w:tcPr>
            <w:tcW w:w="95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Άντρας</w:t>
            </w:r>
          </w:p>
        </w:tc>
        <w:tc>
          <w:tcPr>
            <w:tcW w:w="92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43</w:t>
            </w:r>
          </w:p>
        </w:tc>
        <w:tc>
          <w:tcPr>
            <w:tcW w:w="92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1.5</w:t>
            </w:r>
          </w:p>
        </w:tc>
        <w:tc>
          <w:tcPr>
            <w:tcW w:w="92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0.2</w:t>
            </w:r>
          </w:p>
        </w:tc>
        <w:tc>
          <w:tcPr>
            <w:tcW w:w="922"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2.049</w:t>
            </w:r>
          </w:p>
        </w:tc>
        <w:tc>
          <w:tcPr>
            <w:tcW w:w="844"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98</w:t>
            </w:r>
          </w:p>
        </w:tc>
        <w:tc>
          <w:tcPr>
            <w:tcW w:w="918"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0.043</w:t>
            </w:r>
          </w:p>
        </w:tc>
      </w:tr>
      <w:tr w:rsidR="001B3514">
        <w:trPr>
          <w:trHeight w:val="261"/>
          <w:jc w:val="center"/>
        </w:trPr>
        <w:tc>
          <w:tcPr>
            <w:tcW w:w="3039"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95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Γυναίκα</w:t>
            </w:r>
          </w:p>
        </w:tc>
        <w:tc>
          <w:tcPr>
            <w:tcW w:w="92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57</w:t>
            </w:r>
          </w:p>
        </w:tc>
        <w:tc>
          <w:tcPr>
            <w:tcW w:w="92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1.4</w:t>
            </w:r>
          </w:p>
        </w:tc>
        <w:tc>
          <w:tcPr>
            <w:tcW w:w="92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0.2</w:t>
            </w:r>
          </w:p>
        </w:tc>
        <w:tc>
          <w:tcPr>
            <w:tcW w:w="922"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844"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918"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r>
      <w:tr w:rsidR="001B3514">
        <w:trPr>
          <w:trHeight w:val="261"/>
          <w:jc w:val="center"/>
        </w:trPr>
        <w:tc>
          <w:tcPr>
            <w:tcW w:w="3039"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Ψυχωτισμός (EPQ)</w:t>
            </w:r>
          </w:p>
        </w:tc>
        <w:tc>
          <w:tcPr>
            <w:tcW w:w="95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Άντρας</w:t>
            </w:r>
          </w:p>
        </w:tc>
        <w:tc>
          <w:tcPr>
            <w:tcW w:w="92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43</w:t>
            </w:r>
          </w:p>
        </w:tc>
        <w:tc>
          <w:tcPr>
            <w:tcW w:w="92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1.1</w:t>
            </w:r>
          </w:p>
        </w:tc>
        <w:tc>
          <w:tcPr>
            <w:tcW w:w="92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0.1</w:t>
            </w:r>
          </w:p>
        </w:tc>
        <w:tc>
          <w:tcPr>
            <w:tcW w:w="922"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-2.483</w:t>
            </w:r>
          </w:p>
        </w:tc>
        <w:tc>
          <w:tcPr>
            <w:tcW w:w="844"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98</w:t>
            </w:r>
          </w:p>
        </w:tc>
        <w:tc>
          <w:tcPr>
            <w:tcW w:w="918"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0.015</w:t>
            </w:r>
          </w:p>
        </w:tc>
      </w:tr>
      <w:tr w:rsidR="001B3514">
        <w:trPr>
          <w:trHeight w:val="261"/>
          <w:jc w:val="center"/>
        </w:trPr>
        <w:tc>
          <w:tcPr>
            <w:tcW w:w="3039"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95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Γυναίκα</w:t>
            </w:r>
          </w:p>
        </w:tc>
        <w:tc>
          <w:tcPr>
            <w:tcW w:w="92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57</w:t>
            </w:r>
          </w:p>
        </w:tc>
        <w:tc>
          <w:tcPr>
            <w:tcW w:w="92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1.1</w:t>
            </w:r>
          </w:p>
        </w:tc>
        <w:tc>
          <w:tcPr>
            <w:tcW w:w="92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0.1</w:t>
            </w:r>
          </w:p>
        </w:tc>
        <w:tc>
          <w:tcPr>
            <w:tcW w:w="922"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844"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918"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r>
      <w:tr w:rsidR="001B3514">
        <w:trPr>
          <w:trHeight w:val="261"/>
          <w:jc w:val="center"/>
        </w:trPr>
        <w:tc>
          <w:tcPr>
            <w:tcW w:w="3039"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Κλίμακα Ψεύδους (EPQ)</w:t>
            </w:r>
          </w:p>
        </w:tc>
        <w:tc>
          <w:tcPr>
            <w:tcW w:w="95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Άντρας</w:t>
            </w:r>
          </w:p>
        </w:tc>
        <w:tc>
          <w:tcPr>
            <w:tcW w:w="92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43</w:t>
            </w:r>
          </w:p>
        </w:tc>
        <w:tc>
          <w:tcPr>
            <w:tcW w:w="92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0.9</w:t>
            </w:r>
          </w:p>
        </w:tc>
        <w:tc>
          <w:tcPr>
            <w:tcW w:w="92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0.2</w:t>
            </w:r>
          </w:p>
        </w:tc>
        <w:tc>
          <w:tcPr>
            <w:tcW w:w="922"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-2.740</w:t>
            </w:r>
          </w:p>
        </w:tc>
        <w:tc>
          <w:tcPr>
            <w:tcW w:w="844"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98</w:t>
            </w:r>
          </w:p>
        </w:tc>
        <w:tc>
          <w:tcPr>
            <w:tcW w:w="918"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0.007</w:t>
            </w:r>
          </w:p>
        </w:tc>
      </w:tr>
      <w:tr w:rsidR="001B3514">
        <w:trPr>
          <w:trHeight w:val="261"/>
          <w:jc w:val="center"/>
        </w:trPr>
        <w:tc>
          <w:tcPr>
            <w:tcW w:w="3039"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95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Γυναίκα</w:t>
            </w:r>
          </w:p>
        </w:tc>
        <w:tc>
          <w:tcPr>
            <w:tcW w:w="92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57</w:t>
            </w:r>
          </w:p>
        </w:tc>
        <w:tc>
          <w:tcPr>
            <w:tcW w:w="92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0.9</w:t>
            </w:r>
          </w:p>
        </w:tc>
        <w:tc>
          <w:tcPr>
            <w:tcW w:w="92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0.2</w:t>
            </w:r>
          </w:p>
        </w:tc>
        <w:tc>
          <w:tcPr>
            <w:tcW w:w="922"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844"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918"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r>
    </w:tbl>
    <w:p w:rsidR="001B3514" w:rsidRDefault="00782E3E">
      <w:pPr>
        <w:rPr>
          <w:lang w:eastAsia="zh-CN" w:bidi="hi-IN"/>
        </w:rPr>
      </w:pPr>
      <w:r>
        <w:rPr>
          <w:lang w:eastAsia="zh-CN" w:bidi="hi-IN"/>
        </w:rPr>
        <w:t>Από τον παραπάνω έλεγχο μέσων τιμών φαίνεται πως υπάρχει στατιστικώς σημαντική διαφορά ανάμεσα στο φύλο του δείγματος και τις μεταβλητές «Γενικός δείκτης συμπτωμάτων (SCL90)» (Sig=0.014&lt;0.05), «Σύνολο των θετικών συμπτωμάτων (SCL90)» (Sig=0.028&lt;0.05), «Νευρωτισμός (EPQ)» (Sig=0.043&lt;0.05), «Ψυχωτισμός (EPQ)» (Sig=0.015&lt;0.05) και «Κλίμακα Ψεύδους (EPQ)» (Sig=0.007&lt;0.05). Στις μεταβλητές τη κλίμακας SCL90 την υψηλότερη μέση τιμή συγκέντρωσε ο πληθυσμός των γυναικών.</w:t>
      </w:r>
    </w:p>
    <w:p w:rsidR="001B3514" w:rsidRDefault="001B3514">
      <w:pPr>
        <w:rPr>
          <w:lang w:eastAsia="zh-CN" w:bidi="hi-IN"/>
        </w:rPr>
      </w:pPr>
    </w:p>
    <w:p w:rsidR="001B3514" w:rsidRDefault="00782E3E">
      <w:pPr>
        <w:pStyle w:val="aa"/>
        <w:rPr>
          <w:lang w:eastAsia="zh-CN" w:bidi="hi-IN"/>
        </w:rPr>
      </w:pPr>
      <w:bookmarkStart w:id="54" w:name="_Toc64641821"/>
      <w:r>
        <w:t xml:space="preserve">Πίνακας </w:t>
      </w:r>
      <w:r w:rsidR="00B061D7">
        <w:fldChar w:fldCharType="begin"/>
      </w:r>
      <w:r>
        <w:instrText>SEQ Πίνακας \* ARABIC</w:instrText>
      </w:r>
      <w:r w:rsidR="00B061D7">
        <w:fldChar w:fldCharType="separate"/>
      </w:r>
      <w:r w:rsidR="001D06AA">
        <w:rPr>
          <w:noProof/>
        </w:rPr>
        <w:t>14</w:t>
      </w:r>
      <w:r w:rsidR="00B061D7">
        <w:fldChar w:fldCharType="end"/>
      </w:r>
      <w:r>
        <w:t xml:space="preserve"> Αποτελέσματα συσχέτισης της παροχής οικονομικής βοήθειας με τη μεταβλητή EPQ του δείγματος</w:t>
      </w:r>
      <w:bookmarkEnd w:id="54"/>
    </w:p>
    <w:tbl>
      <w:tblPr>
        <w:tblW w:w="8022" w:type="dxa"/>
        <w:jc w:val="center"/>
        <w:tblBorders>
          <w:top w:val="single" w:sz="4" w:space="0" w:color="000001"/>
          <w:bottom w:val="single" w:sz="4" w:space="0" w:color="000001"/>
          <w:insideH w:val="single" w:sz="4" w:space="0" w:color="000001"/>
        </w:tblBorders>
        <w:tblLook w:val="04A0"/>
      </w:tblPr>
      <w:tblGrid>
        <w:gridCol w:w="1504"/>
        <w:gridCol w:w="819"/>
        <w:gridCol w:w="943"/>
        <w:gridCol w:w="956"/>
        <w:gridCol w:w="945"/>
        <w:gridCol w:w="956"/>
        <w:gridCol w:w="943"/>
        <w:gridCol w:w="956"/>
      </w:tblGrid>
      <w:tr w:rsidR="001B3514">
        <w:trPr>
          <w:trHeight w:val="615"/>
          <w:jc w:val="center"/>
        </w:trPr>
        <w:tc>
          <w:tcPr>
            <w:tcW w:w="2231" w:type="dxa"/>
            <w:gridSpan w:val="2"/>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Βοηθάτε οικονομικά τα παιδιά σας;</w:t>
            </w:r>
          </w:p>
        </w:tc>
        <w:tc>
          <w:tcPr>
            <w:tcW w:w="96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N</w:t>
            </w:r>
          </w:p>
        </w:tc>
        <w:tc>
          <w:tcPr>
            <w:tcW w:w="96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Mean</w:t>
            </w:r>
          </w:p>
        </w:tc>
        <w:tc>
          <w:tcPr>
            <w:tcW w:w="96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SD</w:t>
            </w:r>
          </w:p>
        </w:tc>
        <w:tc>
          <w:tcPr>
            <w:tcW w:w="96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t</w:t>
            </w:r>
          </w:p>
        </w:tc>
        <w:tc>
          <w:tcPr>
            <w:tcW w:w="96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df</w:t>
            </w:r>
          </w:p>
        </w:tc>
        <w:tc>
          <w:tcPr>
            <w:tcW w:w="96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xml:space="preserve">Sig. </w:t>
            </w:r>
          </w:p>
        </w:tc>
      </w:tr>
      <w:tr w:rsidR="001B3514">
        <w:trPr>
          <w:trHeight w:val="300"/>
          <w:jc w:val="center"/>
        </w:trPr>
        <w:tc>
          <w:tcPr>
            <w:tcW w:w="1403"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Εξωστρέφεια (EPQ)</w:t>
            </w:r>
          </w:p>
        </w:tc>
        <w:tc>
          <w:tcPr>
            <w:tcW w:w="83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Ναι</w:t>
            </w:r>
          </w:p>
        </w:tc>
        <w:tc>
          <w:tcPr>
            <w:tcW w:w="96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58</w:t>
            </w:r>
          </w:p>
        </w:tc>
        <w:tc>
          <w:tcPr>
            <w:tcW w:w="96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1.3</w:t>
            </w:r>
          </w:p>
        </w:tc>
        <w:tc>
          <w:tcPr>
            <w:tcW w:w="96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0.2</w:t>
            </w:r>
          </w:p>
        </w:tc>
        <w:tc>
          <w:tcPr>
            <w:tcW w:w="965"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-2.085</w:t>
            </w:r>
          </w:p>
        </w:tc>
        <w:tc>
          <w:tcPr>
            <w:tcW w:w="965"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82</w:t>
            </w:r>
          </w:p>
        </w:tc>
        <w:tc>
          <w:tcPr>
            <w:tcW w:w="962"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0.040</w:t>
            </w:r>
          </w:p>
        </w:tc>
      </w:tr>
      <w:tr w:rsidR="001B3514">
        <w:trPr>
          <w:trHeight w:val="300"/>
          <w:jc w:val="center"/>
        </w:trPr>
        <w:tc>
          <w:tcPr>
            <w:tcW w:w="1403"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83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Όχι</w:t>
            </w:r>
          </w:p>
        </w:tc>
        <w:tc>
          <w:tcPr>
            <w:tcW w:w="96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26</w:t>
            </w:r>
          </w:p>
        </w:tc>
        <w:tc>
          <w:tcPr>
            <w:tcW w:w="96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1.4</w:t>
            </w:r>
          </w:p>
        </w:tc>
        <w:tc>
          <w:tcPr>
            <w:tcW w:w="96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0.2</w:t>
            </w:r>
          </w:p>
        </w:tc>
        <w:tc>
          <w:tcPr>
            <w:tcW w:w="965"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965"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962"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r>
    </w:tbl>
    <w:p w:rsidR="001B3514" w:rsidRDefault="00782E3E">
      <w:pPr>
        <w:rPr>
          <w:lang w:eastAsia="zh-CN" w:bidi="hi-IN"/>
        </w:rPr>
      </w:pPr>
      <w:r>
        <w:rPr>
          <w:lang w:eastAsia="zh-CN" w:bidi="hi-IN"/>
        </w:rPr>
        <w:t>Σχετικά με τον παραπάνω πίνακα φαίνεται πως υπάρχει στατιστικώς σημαντική συσχέτιση ανάμεσα στην παροχή οικονομική βοήθειας προς τα παιδιά του δείγματος και τη μεταβλητή «Εξωστρέφεια (EPQ)» (Sig=0.040&lt;0.05). Τη μεγαλύτερη μέση τιμή συγκεντρώνει ο πληθυσμός όσων δεν βοηθούν τα παιδιά τους οικονομικά (1.4</w:t>
      </w:r>
      <w:r>
        <w:rPr>
          <w:rFonts w:cs="Times New Roman"/>
          <w:lang w:eastAsia="zh-CN" w:bidi="hi-IN"/>
        </w:rPr>
        <w:t>±0.2)</w:t>
      </w:r>
      <w:r>
        <w:rPr>
          <w:lang w:eastAsia="zh-CN" w:bidi="hi-IN"/>
        </w:rPr>
        <w:t>.</w:t>
      </w:r>
    </w:p>
    <w:p w:rsidR="001B3514" w:rsidRDefault="00782E3E">
      <w:pPr>
        <w:spacing w:line="259" w:lineRule="auto"/>
        <w:jc w:val="left"/>
        <w:rPr>
          <w:lang w:eastAsia="zh-CN" w:bidi="hi-IN"/>
        </w:rPr>
      </w:pPr>
      <w:r>
        <w:br w:type="page"/>
      </w:r>
    </w:p>
    <w:p w:rsidR="001B3514" w:rsidRDefault="00782E3E">
      <w:pPr>
        <w:pStyle w:val="aa"/>
        <w:rPr>
          <w:lang w:eastAsia="zh-CN" w:bidi="hi-IN"/>
        </w:rPr>
      </w:pPr>
      <w:bookmarkStart w:id="55" w:name="_Toc64641822"/>
      <w:r>
        <w:lastRenderedPageBreak/>
        <w:t xml:space="preserve">Πίνακας </w:t>
      </w:r>
      <w:r w:rsidR="00B061D7">
        <w:fldChar w:fldCharType="begin"/>
      </w:r>
      <w:r>
        <w:instrText>SEQ Πίνακας \* ARABIC</w:instrText>
      </w:r>
      <w:r w:rsidR="00B061D7">
        <w:fldChar w:fldCharType="separate"/>
      </w:r>
      <w:r w:rsidR="001D06AA">
        <w:rPr>
          <w:noProof/>
        </w:rPr>
        <w:t>15</w:t>
      </w:r>
      <w:r w:rsidR="00B061D7">
        <w:fldChar w:fldCharType="end"/>
      </w:r>
      <w:r>
        <w:t xml:space="preserve"> Αποτελέσματα συσχέτισης της παροχής οικονομικής βοήθειας του δείγματος με τις κλίμακες</w:t>
      </w:r>
      <w:bookmarkEnd w:id="55"/>
      <w:r>
        <w:t xml:space="preserve"> </w:t>
      </w:r>
    </w:p>
    <w:tbl>
      <w:tblPr>
        <w:tblW w:w="8887" w:type="dxa"/>
        <w:jc w:val="center"/>
        <w:tblBorders>
          <w:top w:val="single" w:sz="4" w:space="0" w:color="000001"/>
          <w:bottom w:val="single" w:sz="4" w:space="0" w:color="000001"/>
          <w:insideH w:val="single" w:sz="4" w:space="0" w:color="000001"/>
        </w:tblBorders>
        <w:tblLook w:val="04A0"/>
      </w:tblPr>
      <w:tblGrid>
        <w:gridCol w:w="2832"/>
        <w:gridCol w:w="865"/>
        <w:gridCol w:w="863"/>
        <w:gridCol w:w="868"/>
        <w:gridCol w:w="865"/>
        <w:gridCol w:w="863"/>
        <w:gridCol w:w="868"/>
        <w:gridCol w:w="863"/>
      </w:tblGrid>
      <w:tr w:rsidR="001B3514">
        <w:trPr>
          <w:trHeight w:val="256"/>
          <w:jc w:val="center"/>
        </w:trPr>
        <w:tc>
          <w:tcPr>
            <w:tcW w:w="283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Βοηθάτε οικονομικά τα αδέρφια σας ή τους γονείς σας;</w:t>
            </w:r>
          </w:p>
        </w:tc>
        <w:tc>
          <w:tcPr>
            <w:tcW w:w="86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w:t>
            </w:r>
          </w:p>
        </w:tc>
        <w:tc>
          <w:tcPr>
            <w:tcW w:w="86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N</w:t>
            </w:r>
          </w:p>
        </w:tc>
        <w:tc>
          <w:tcPr>
            <w:tcW w:w="86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Mean</w:t>
            </w:r>
          </w:p>
        </w:tc>
        <w:tc>
          <w:tcPr>
            <w:tcW w:w="86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SD</w:t>
            </w:r>
          </w:p>
        </w:tc>
        <w:tc>
          <w:tcPr>
            <w:tcW w:w="86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t</w:t>
            </w:r>
          </w:p>
        </w:tc>
        <w:tc>
          <w:tcPr>
            <w:tcW w:w="86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df</w:t>
            </w:r>
          </w:p>
        </w:tc>
        <w:tc>
          <w:tcPr>
            <w:tcW w:w="86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xml:space="preserve">Sig. </w:t>
            </w:r>
          </w:p>
        </w:tc>
      </w:tr>
      <w:tr w:rsidR="001B3514">
        <w:trPr>
          <w:trHeight w:val="160"/>
          <w:jc w:val="center"/>
        </w:trPr>
        <w:tc>
          <w:tcPr>
            <w:tcW w:w="2831"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Οι απόψεις σας για τα φάρμακα που σας έγραψαν οι γιατροί σας (BMQ10)</w:t>
            </w:r>
          </w:p>
        </w:tc>
        <w:tc>
          <w:tcPr>
            <w:tcW w:w="86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Ναι</w:t>
            </w:r>
          </w:p>
        </w:tc>
        <w:tc>
          <w:tcPr>
            <w:tcW w:w="86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13</w:t>
            </w:r>
          </w:p>
        </w:tc>
        <w:tc>
          <w:tcPr>
            <w:tcW w:w="86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2.6</w:t>
            </w:r>
          </w:p>
        </w:tc>
        <w:tc>
          <w:tcPr>
            <w:tcW w:w="86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0.8</w:t>
            </w:r>
          </w:p>
        </w:tc>
        <w:tc>
          <w:tcPr>
            <w:tcW w:w="863"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-2.161</w:t>
            </w:r>
          </w:p>
        </w:tc>
        <w:tc>
          <w:tcPr>
            <w:tcW w:w="868"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84</w:t>
            </w:r>
          </w:p>
        </w:tc>
        <w:tc>
          <w:tcPr>
            <w:tcW w:w="863"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0.034</w:t>
            </w:r>
          </w:p>
        </w:tc>
      </w:tr>
      <w:tr w:rsidR="001B3514">
        <w:trPr>
          <w:trHeight w:val="160"/>
          <w:jc w:val="center"/>
        </w:trPr>
        <w:tc>
          <w:tcPr>
            <w:tcW w:w="2831"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86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Όχι</w:t>
            </w:r>
          </w:p>
        </w:tc>
        <w:tc>
          <w:tcPr>
            <w:tcW w:w="86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73</w:t>
            </w:r>
          </w:p>
        </w:tc>
        <w:tc>
          <w:tcPr>
            <w:tcW w:w="86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3.0</w:t>
            </w:r>
          </w:p>
        </w:tc>
        <w:tc>
          <w:tcPr>
            <w:tcW w:w="86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0.6</w:t>
            </w:r>
          </w:p>
        </w:tc>
        <w:tc>
          <w:tcPr>
            <w:tcW w:w="863"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868"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863"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r>
      <w:tr w:rsidR="001B3514">
        <w:trPr>
          <w:trHeight w:val="160"/>
          <w:jc w:val="center"/>
        </w:trPr>
        <w:tc>
          <w:tcPr>
            <w:tcW w:w="2831"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Δείκτης ενόχλησης των θετικών συμπτωμάτων (SCL90)</w:t>
            </w:r>
          </w:p>
        </w:tc>
        <w:tc>
          <w:tcPr>
            <w:tcW w:w="86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Ναι</w:t>
            </w:r>
          </w:p>
        </w:tc>
        <w:tc>
          <w:tcPr>
            <w:tcW w:w="86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13</w:t>
            </w:r>
          </w:p>
        </w:tc>
        <w:tc>
          <w:tcPr>
            <w:tcW w:w="86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1.4</w:t>
            </w:r>
          </w:p>
        </w:tc>
        <w:tc>
          <w:tcPr>
            <w:tcW w:w="86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0.3</w:t>
            </w:r>
          </w:p>
        </w:tc>
        <w:tc>
          <w:tcPr>
            <w:tcW w:w="863"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-2.303</w:t>
            </w:r>
          </w:p>
        </w:tc>
        <w:tc>
          <w:tcPr>
            <w:tcW w:w="868"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84</w:t>
            </w:r>
          </w:p>
        </w:tc>
        <w:tc>
          <w:tcPr>
            <w:tcW w:w="863"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0.024</w:t>
            </w:r>
          </w:p>
        </w:tc>
      </w:tr>
      <w:tr w:rsidR="001B3514">
        <w:trPr>
          <w:trHeight w:val="160"/>
          <w:jc w:val="center"/>
        </w:trPr>
        <w:tc>
          <w:tcPr>
            <w:tcW w:w="2831"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86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Όχι</w:t>
            </w:r>
          </w:p>
        </w:tc>
        <w:tc>
          <w:tcPr>
            <w:tcW w:w="86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73</w:t>
            </w:r>
          </w:p>
        </w:tc>
        <w:tc>
          <w:tcPr>
            <w:tcW w:w="86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1.8</w:t>
            </w:r>
          </w:p>
        </w:tc>
        <w:tc>
          <w:tcPr>
            <w:tcW w:w="86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0.5</w:t>
            </w:r>
          </w:p>
        </w:tc>
        <w:tc>
          <w:tcPr>
            <w:tcW w:w="863"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868"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863"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r>
      <w:tr w:rsidR="001B3514">
        <w:trPr>
          <w:trHeight w:val="160"/>
          <w:jc w:val="center"/>
        </w:trPr>
        <w:tc>
          <w:tcPr>
            <w:tcW w:w="2831"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Ψυχωτισμός (EPQ)</w:t>
            </w:r>
          </w:p>
        </w:tc>
        <w:tc>
          <w:tcPr>
            <w:tcW w:w="86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Ναι</w:t>
            </w:r>
          </w:p>
        </w:tc>
        <w:tc>
          <w:tcPr>
            <w:tcW w:w="86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13</w:t>
            </w:r>
          </w:p>
        </w:tc>
        <w:tc>
          <w:tcPr>
            <w:tcW w:w="86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1.1</w:t>
            </w:r>
          </w:p>
        </w:tc>
        <w:tc>
          <w:tcPr>
            <w:tcW w:w="86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0.1</w:t>
            </w:r>
          </w:p>
        </w:tc>
        <w:tc>
          <w:tcPr>
            <w:tcW w:w="863"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-2.259</w:t>
            </w:r>
          </w:p>
        </w:tc>
        <w:tc>
          <w:tcPr>
            <w:tcW w:w="868"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84</w:t>
            </w:r>
          </w:p>
        </w:tc>
        <w:tc>
          <w:tcPr>
            <w:tcW w:w="863"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0.026</w:t>
            </w:r>
          </w:p>
        </w:tc>
      </w:tr>
      <w:tr w:rsidR="001B3514">
        <w:trPr>
          <w:trHeight w:val="160"/>
          <w:jc w:val="center"/>
        </w:trPr>
        <w:tc>
          <w:tcPr>
            <w:tcW w:w="2831"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86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Όχι</w:t>
            </w:r>
          </w:p>
        </w:tc>
        <w:tc>
          <w:tcPr>
            <w:tcW w:w="86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73</w:t>
            </w:r>
          </w:p>
        </w:tc>
        <w:tc>
          <w:tcPr>
            <w:tcW w:w="86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1.1</w:t>
            </w:r>
          </w:p>
        </w:tc>
        <w:tc>
          <w:tcPr>
            <w:tcW w:w="86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0.1</w:t>
            </w:r>
          </w:p>
        </w:tc>
        <w:tc>
          <w:tcPr>
            <w:tcW w:w="863"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868"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863"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r>
    </w:tbl>
    <w:p w:rsidR="001B3514" w:rsidRDefault="00782E3E">
      <w:pPr>
        <w:rPr>
          <w:lang w:eastAsia="zh-CN" w:bidi="hi-IN"/>
        </w:rPr>
      </w:pPr>
      <w:r>
        <w:rPr>
          <w:lang w:eastAsia="zh-CN" w:bidi="hi-IN"/>
        </w:rPr>
        <w:t xml:space="preserve">Σχετικά με τον παραπάνω πίνακα υπάρχει στατιστικώς σημαντική διαφορά ανάμεσα στην παροχή οικονομικής βοήθειας προς τα αδέρφια και τους γονείς του δείγματος και τις μεταβλητές «Οι απόψεις σας για τα φάρμακα που σας έγραψαν οι γιατροί σας (BMQ10)» (Sig=0.034&lt;0.05), «Δείκτης ενόχλησης των θετικών συμπτωμάτων (SCL90)» (Sig=0.024&lt;0.05) και «Ψυχωτισμός (EPQ)» (Sig=0.026&lt;0.05). Τη μεγαλύτερη μέση τιμή συγκεντρώνουν όσοι δεν βοηθούν οικονομικά τα αδέρφια ή τους γονείς τους. </w:t>
      </w:r>
    </w:p>
    <w:p w:rsidR="001B3514" w:rsidRDefault="001B3514">
      <w:pPr>
        <w:rPr>
          <w:lang w:eastAsia="zh-CN" w:bidi="hi-IN"/>
        </w:rPr>
      </w:pPr>
    </w:p>
    <w:p w:rsidR="001B3514" w:rsidRDefault="00782E3E">
      <w:pPr>
        <w:pStyle w:val="aa"/>
        <w:rPr>
          <w:lang w:eastAsia="zh-CN" w:bidi="hi-IN"/>
        </w:rPr>
      </w:pPr>
      <w:bookmarkStart w:id="56" w:name="_Toc64641823"/>
      <w:r>
        <w:t xml:space="preserve">Πίνακας </w:t>
      </w:r>
      <w:r w:rsidR="00B061D7">
        <w:fldChar w:fldCharType="begin"/>
      </w:r>
      <w:r>
        <w:instrText>SEQ Πίνακας \* ARABIC</w:instrText>
      </w:r>
      <w:r w:rsidR="00B061D7">
        <w:fldChar w:fldCharType="separate"/>
      </w:r>
      <w:r w:rsidR="001D06AA">
        <w:rPr>
          <w:noProof/>
        </w:rPr>
        <w:t>16</w:t>
      </w:r>
      <w:r w:rsidR="00B061D7">
        <w:fldChar w:fldCharType="end"/>
      </w:r>
      <w:r>
        <w:t xml:space="preserve"> Αποτελέσματα συσχέτισης της παροχής οικονομικής βοήθειας του δείγματος με τις κλίμακες</w:t>
      </w:r>
      <w:bookmarkEnd w:id="56"/>
      <w:r>
        <w:t xml:space="preserve"> </w:t>
      </w:r>
    </w:p>
    <w:tbl>
      <w:tblPr>
        <w:tblW w:w="9019" w:type="dxa"/>
        <w:jc w:val="center"/>
        <w:tblBorders>
          <w:top w:val="single" w:sz="4" w:space="0" w:color="000001"/>
          <w:bottom w:val="single" w:sz="4" w:space="0" w:color="000001"/>
          <w:insideH w:val="single" w:sz="4" w:space="0" w:color="000001"/>
        </w:tblBorders>
        <w:tblLook w:val="04A0"/>
      </w:tblPr>
      <w:tblGrid>
        <w:gridCol w:w="3107"/>
        <w:gridCol w:w="589"/>
        <w:gridCol w:w="887"/>
        <w:gridCol w:w="888"/>
        <w:gridCol w:w="887"/>
        <w:gridCol w:w="887"/>
        <w:gridCol w:w="888"/>
        <w:gridCol w:w="886"/>
      </w:tblGrid>
      <w:tr w:rsidR="001B3514">
        <w:trPr>
          <w:trHeight w:val="433"/>
          <w:jc w:val="center"/>
        </w:trPr>
        <w:tc>
          <w:tcPr>
            <w:tcW w:w="310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Σας βοηθούν οικονομικά τα παιδιά σας ή τα αδέρφια σας ή οι γονείς σας;</w:t>
            </w:r>
          </w:p>
        </w:tc>
        <w:tc>
          <w:tcPr>
            <w:tcW w:w="58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w:t>
            </w:r>
          </w:p>
        </w:tc>
        <w:tc>
          <w:tcPr>
            <w:tcW w:w="88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N</w:t>
            </w:r>
          </w:p>
        </w:tc>
        <w:tc>
          <w:tcPr>
            <w:tcW w:w="88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Mean</w:t>
            </w:r>
          </w:p>
        </w:tc>
        <w:tc>
          <w:tcPr>
            <w:tcW w:w="88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SD</w:t>
            </w:r>
          </w:p>
        </w:tc>
        <w:tc>
          <w:tcPr>
            <w:tcW w:w="88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t</w:t>
            </w:r>
          </w:p>
        </w:tc>
        <w:tc>
          <w:tcPr>
            <w:tcW w:w="88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df</w:t>
            </w:r>
          </w:p>
        </w:tc>
        <w:tc>
          <w:tcPr>
            <w:tcW w:w="88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Sig.</w:t>
            </w:r>
          </w:p>
        </w:tc>
      </w:tr>
      <w:tr w:rsidR="001B3514">
        <w:trPr>
          <w:trHeight w:val="270"/>
          <w:jc w:val="center"/>
        </w:trPr>
        <w:tc>
          <w:tcPr>
            <w:tcW w:w="3106"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Οι απόψεις σας για τα φάρμακα γενικά (BMQ12 General)</w:t>
            </w:r>
          </w:p>
        </w:tc>
        <w:tc>
          <w:tcPr>
            <w:tcW w:w="58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Ναι</w:t>
            </w:r>
          </w:p>
        </w:tc>
        <w:tc>
          <w:tcPr>
            <w:tcW w:w="88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21</w:t>
            </w:r>
          </w:p>
        </w:tc>
        <w:tc>
          <w:tcPr>
            <w:tcW w:w="88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3.0</w:t>
            </w:r>
          </w:p>
        </w:tc>
        <w:tc>
          <w:tcPr>
            <w:tcW w:w="88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0.3</w:t>
            </w:r>
          </w:p>
        </w:tc>
        <w:tc>
          <w:tcPr>
            <w:tcW w:w="887"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-2.171</w:t>
            </w:r>
          </w:p>
        </w:tc>
        <w:tc>
          <w:tcPr>
            <w:tcW w:w="888"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87</w:t>
            </w:r>
          </w:p>
        </w:tc>
        <w:tc>
          <w:tcPr>
            <w:tcW w:w="886"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0.033</w:t>
            </w:r>
          </w:p>
        </w:tc>
      </w:tr>
      <w:tr w:rsidR="001B3514">
        <w:trPr>
          <w:trHeight w:val="270"/>
          <w:jc w:val="center"/>
        </w:trPr>
        <w:tc>
          <w:tcPr>
            <w:tcW w:w="3106"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58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Όχι</w:t>
            </w:r>
          </w:p>
        </w:tc>
        <w:tc>
          <w:tcPr>
            <w:tcW w:w="88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68</w:t>
            </w:r>
          </w:p>
        </w:tc>
        <w:tc>
          <w:tcPr>
            <w:tcW w:w="88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3.2</w:t>
            </w:r>
          </w:p>
        </w:tc>
        <w:tc>
          <w:tcPr>
            <w:tcW w:w="88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0.5</w:t>
            </w:r>
          </w:p>
        </w:tc>
        <w:tc>
          <w:tcPr>
            <w:tcW w:w="887"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888"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886"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r>
      <w:tr w:rsidR="001B3514">
        <w:trPr>
          <w:trHeight w:val="270"/>
          <w:jc w:val="center"/>
        </w:trPr>
        <w:tc>
          <w:tcPr>
            <w:tcW w:w="3106"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Οι απόψεις σας για τα φάρμακα που σας έγραψαν οι γιατροί σας (BMQ10)</w:t>
            </w:r>
          </w:p>
        </w:tc>
        <w:tc>
          <w:tcPr>
            <w:tcW w:w="58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Ναι</w:t>
            </w:r>
          </w:p>
        </w:tc>
        <w:tc>
          <w:tcPr>
            <w:tcW w:w="88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21</w:t>
            </w:r>
          </w:p>
        </w:tc>
        <w:tc>
          <w:tcPr>
            <w:tcW w:w="88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2.6</w:t>
            </w:r>
          </w:p>
        </w:tc>
        <w:tc>
          <w:tcPr>
            <w:tcW w:w="88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0.7</w:t>
            </w:r>
          </w:p>
        </w:tc>
        <w:tc>
          <w:tcPr>
            <w:tcW w:w="887"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-2.196</w:t>
            </w:r>
          </w:p>
        </w:tc>
        <w:tc>
          <w:tcPr>
            <w:tcW w:w="888"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87</w:t>
            </w:r>
          </w:p>
        </w:tc>
        <w:tc>
          <w:tcPr>
            <w:tcW w:w="886"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0.031</w:t>
            </w:r>
          </w:p>
        </w:tc>
      </w:tr>
      <w:tr w:rsidR="001B3514">
        <w:trPr>
          <w:trHeight w:val="270"/>
          <w:jc w:val="center"/>
        </w:trPr>
        <w:tc>
          <w:tcPr>
            <w:tcW w:w="3106"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58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Όχι</w:t>
            </w:r>
          </w:p>
        </w:tc>
        <w:tc>
          <w:tcPr>
            <w:tcW w:w="88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68</w:t>
            </w:r>
          </w:p>
        </w:tc>
        <w:tc>
          <w:tcPr>
            <w:tcW w:w="88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3.0</w:t>
            </w:r>
          </w:p>
        </w:tc>
        <w:tc>
          <w:tcPr>
            <w:tcW w:w="88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0.7</w:t>
            </w:r>
          </w:p>
        </w:tc>
        <w:tc>
          <w:tcPr>
            <w:tcW w:w="887"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888"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886"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r>
    </w:tbl>
    <w:p w:rsidR="001B3514" w:rsidRDefault="00782E3E">
      <w:pPr>
        <w:rPr>
          <w:lang w:eastAsia="zh-CN" w:bidi="hi-IN"/>
        </w:rPr>
      </w:pPr>
      <w:r>
        <w:rPr>
          <w:lang w:eastAsia="zh-CN" w:bidi="hi-IN"/>
        </w:rPr>
        <w:t>Σύμφωνα με τον παραπάνω πίνακα υπάρχει στατιστικώς σημαντική διαφορά ανάμεσα στην παροχή οικονομικής βοήθειας από τα αδέρφια και τους γονείς του δείγματος και τις μεταβλητές «Οι απόψεις σας για τα φάρμακα γενικά (BMQ12 General)» (Sig=0.033&lt;0.05) και «Οι απόψεις σας για τα φάρμακα που σας έγραψαν οι γιατροί σας (BMQ10)» (Sig=0.031&lt;0.05). Τη μεγαλύτερη μέση τιμή συγκεντρώνουν όσοι δεν λαμβάνουν οικονομική βοήθεια από τα αδέρφια ή τους γονείς τους.</w:t>
      </w:r>
    </w:p>
    <w:p w:rsidR="001B3514" w:rsidRDefault="00782E3E">
      <w:pPr>
        <w:spacing w:line="259" w:lineRule="auto"/>
        <w:jc w:val="left"/>
        <w:rPr>
          <w:lang w:eastAsia="zh-CN" w:bidi="hi-IN"/>
        </w:rPr>
      </w:pPr>
      <w:r>
        <w:lastRenderedPageBreak/>
        <w:br w:type="page"/>
      </w:r>
    </w:p>
    <w:p w:rsidR="001B3514" w:rsidRDefault="00782E3E">
      <w:pPr>
        <w:pStyle w:val="aa"/>
        <w:rPr>
          <w:lang w:eastAsia="zh-CN" w:bidi="hi-IN"/>
        </w:rPr>
      </w:pPr>
      <w:bookmarkStart w:id="57" w:name="_Toc64641824"/>
      <w:r>
        <w:lastRenderedPageBreak/>
        <w:t xml:space="preserve">Πίνακας </w:t>
      </w:r>
      <w:r w:rsidR="00B061D7">
        <w:fldChar w:fldCharType="begin"/>
      </w:r>
      <w:r>
        <w:instrText>SEQ Πίνακας \* ARABIC</w:instrText>
      </w:r>
      <w:r w:rsidR="00B061D7">
        <w:fldChar w:fldCharType="separate"/>
      </w:r>
      <w:r w:rsidR="001D06AA">
        <w:rPr>
          <w:noProof/>
        </w:rPr>
        <w:t>17</w:t>
      </w:r>
      <w:r w:rsidR="00B061D7">
        <w:fldChar w:fldCharType="end"/>
      </w:r>
      <w:r>
        <w:t xml:space="preserve"> Αποτελέσματα συσχέτισης της ενοικίασης σπιτιού του δείγματος με τη κλίμακα SCL90</w:t>
      </w:r>
      <w:bookmarkEnd w:id="57"/>
    </w:p>
    <w:tbl>
      <w:tblPr>
        <w:tblW w:w="8520" w:type="dxa"/>
        <w:jc w:val="center"/>
        <w:tblBorders>
          <w:top w:val="single" w:sz="4" w:space="0" w:color="000001"/>
          <w:bottom w:val="single" w:sz="4" w:space="0" w:color="000001"/>
          <w:insideH w:val="single" w:sz="4" w:space="0" w:color="000001"/>
        </w:tblBorders>
        <w:tblLook w:val="04A0"/>
      </w:tblPr>
      <w:tblGrid>
        <w:gridCol w:w="2021"/>
        <w:gridCol w:w="739"/>
        <w:gridCol w:w="960"/>
        <w:gridCol w:w="961"/>
        <w:gridCol w:w="961"/>
        <w:gridCol w:w="962"/>
        <w:gridCol w:w="960"/>
        <w:gridCol w:w="956"/>
      </w:tblGrid>
      <w:tr w:rsidR="001B3514">
        <w:trPr>
          <w:trHeight w:val="300"/>
          <w:jc w:val="center"/>
        </w:trPr>
        <w:tc>
          <w:tcPr>
            <w:tcW w:w="2020" w:type="dxa"/>
            <w:tcBorders>
              <w:top w:val="single" w:sz="4" w:space="0" w:color="000001"/>
              <w:bottom w:val="single" w:sz="4" w:space="0" w:color="000001"/>
            </w:tcBorders>
            <w:shd w:val="clear" w:color="auto" w:fill="auto"/>
            <w:vAlign w:val="bottom"/>
          </w:tcPr>
          <w:p w:rsidR="001B3514" w:rsidRDefault="00782E3E">
            <w:pPr>
              <w:pStyle w:val="ad"/>
              <w:rPr>
                <w:lang w:eastAsia="el-GR"/>
              </w:rPr>
            </w:pPr>
            <w:r>
              <w:rPr>
                <w:lang w:eastAsia="el-GR"/>
              </w:rPr>
              <w:t>Νοικιάζετε σπίτι;</w:t>
            </w:r>
          </w:p>
        </w:tc>
        <w:tc>
          <w:tcPr>
            <w:tcW w:w="739" w:type="dxa"/>
            <w:tcBorders>
              <w:top w:val="single" w:sz="4" w:space="0" w:color="000001"/>
              <w:bottom w:val="single" w:sz="4" w:space="0" w:color="000001"/>
            </w:tcBorders>
            <w:shd w:val="clear" w:color="auto" w:fill="auto"/>
            <w:vAlign w:val="bottom"/>
          </w:tcPr>
          <w:p w:rsidR="001B3514" w:rsidRDefault="00782E3E">
            <w:pPr>
              <w:pStyle w:val="ad"/>
              <w:rPr>
                <w:lang w:eastAsia="el-GR"/>
              </w:rPr>
            </w:pPr>
            <w:r>
              <w:rPr>
                <w:lang w:eastAsia="el-GR"/>
              </w:rPr>
              <w:t> </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N</w:t>
            </w:r>
          </w:p>
        </w:tc>
        <w:tc>
          <w:tcPr>
            <w:tcW w:w="96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Mean</w:t>
            </w:r>
          </w:p>
        </w:tc>
        <w:tc>
          <w:tcPr>
            <w:tcW w:w="96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SD</w:t>
            </w:r>
          </w:p>
        </w:tc>
        <w:tc>
          <w:tcPr>
            <w:tcW w:w="96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t</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df</w:t>
            </w:r>
          </w:p>
        </w:tc>
        <w:tc>
          <w:tcPr>
            <w:tcW w:w="95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Sig.</w:t>
            </w:r>
          </w:p>
        </w:tc>
      </w:tr>
      <w:tr w:rsidR="001B3514">
        <w:trPr>
          <w:trHeight w:val="300"/>
          <w:jc w:val="center"/>
        </w:trPr>
        <w:tc>
          <w:tcPr>
            <w:tcW w:w="2020" w:type="dxa"/>
            <w:vMerge w:val="restart"/>
            <w:tcBorders>
              <w:top w:val="single" w:sz="4" w:space="0" w:color="000001"/>
              <w:bottom w:val="single" w:sz="4" w:space="0" w:color="000001"/>
            </w:tcBorders>
            <w:shd w:val="clear" w:color="auto" w:fill="auto"/>
          </w:tcPr>
          <w:p w:rsidR="001B3514" w:rsidRDefault="00782E3E">
            <w:pPr>
              <w:pStyle w:val="ad"/>
              <w:rPr>
                <w:lang w:eastAsia="el-GR"/>
              </w:rPr>
            </w:pPr>
            <w:r>
              <w:rPr>
                <w:lang w:eastAsia="el-GR"/>
              </w:rPr>
              <w:t>Σύνολο των θετικών συμπτωμάτων (SCL90)</w:t>
            </w:r>
          </w:p>
        </w:tc>
        <w:tc>
          <w:tcPr>
            <w:tcW w:w="739" w:type="dxa"/>
            <w:tcBorders>
              <w:top w:val="single" w:sz="4" w:space="0" w:color="000001"/>
              <w:bottom w:val="single" w:sz="4" w:space="0" w:color="000001"/>
            </w:tcBorders>
            <w:shd w:val="clear" w:color="auto" w:fill="auto"/>
          </w:tcPr>
          <w:p w:rsidR="001B3514" w:rsidRDefault="00782E3E">
            <w:pPr>
              <w:pStyle w:val="ad"/>
              <w:rPr>
                <w:lang w:eastAsia="el-GR"/>
              </w:rPr>
            </w:pPr>
            <w:r>
              <w:rPr>
                <w:lang w:eastAsia="el-GR"/>
              </w:rPr>
              <w:t>Ναι</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22</w:t>
            </w:r>
          </w:p>
        </w:tc>
        <w:tc>
          <w:tcPr>
            <w:tcW w:w="96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32.0</w:t>
            </w:r>
          </w:p>
        </w:tc>
        <w:tc>
          <w:tcPr>
            <w:tcW w:w="96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19.7</w:t>
            </w:r>
          </w:p>
        </w:tc>
        <w:tc>
          <w:tcPr>
            <w:tcW w:w="962"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-2.238</w:t>
            </w:r>
          </w:p>
        </w:tc>
        <w:tc>
          <w:tcPr>
            <w:tcW w:w="96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98</w:t>
            </w:r>
          </w:p>
        </w:tc>
        <w:tc>
          <w:tcPr>
            <w:tcW w:w="956"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0.027</w:t>
            </w:r>
          </w:p>
        </w:tc>
      </w:tr>
      <w:tr w:rsidR="001B3514">
        <w:trPr>
          <w:trHeight w:val="300"/>
          <w:jc w:val="center"/>
        </w:trPr>
        <w:tc>
          <w:tcPr>
            <w:tcW w:w="202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739" w:type="dxa"/>
            <w:tcBorders>
              <w:top w:val="single" w:sz="4" w:space="0" w:color="000001"/>
              <w:bottom w:val="single" w:sz="4" w:space="0" w:color="000001"/>
            </w:tcBorders>
            <w:shd w:val="clear" w:color="auto" w:fill="auto"/>
          </w:tcPr>
          <w:p w:rsidR="001B3514" w:rsidRDefault="00782E3E">
            <w:pPr>
              <w:pStyle w:val="ad"/>
              <w:rPr>
                <w:lang w:eastAsia="el-GR"/>
              </w:rPr>
            </w:pPr>
            <w:r>
              <w:rPr>
                <w:lang w:eastAsia="el-GR"/>
              </w:rPr>
              <w:t>Όχι</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78</w:t>
            </w:r>
          </w:p>
        </w:tc>
        <w:tc>
          <w:tcPr>
            <w:tcW w:w="96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43.0</w:t>
            </w:r>
          </w:p>
        </w:tc>
        <w:tc>
          <w:tcPr>
            <w:tcW w:w="96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20.6</w:t>
            </w:r>
          </w:p>
        </w:tc>
        <w:tc>
          <w:tcPr>
            <w:tcW w:w="962"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96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956"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r>
    </w:tbl>
    <w:p w:rsidR="001B3514" w:rsidRDefault="00782E3E">
      <w:pPr>
        <w:rPr>
          <w:lang w:eastAsia="zh-CN" w:bidi="hi-IN"/>
        </w:rPr>
      </w:pPr>
      <w:r>
        <w:rPr>
          <w:lang w:eastAsia="zh-CN" w:bidi="hi-IN"/>
        </w:rPr>
        <w:t>Αναφορικά με τον παραπάνω έλεγχο μέσων τιμών φαίνεται πως υπάρχει στατιστικώς σημαντική διαφορά ανάμεσα στην ενοικίαση σπιτιού και τη μεταβλητή «Σύνολο των θετικών συμπτωμάτων (SCL90)» (Sig=0.027&lt;0.05). Τη μεγαλύτερη μέση τιμή συγκεντρώνουν όσοι από τους ερωτηθέντες δε νοικιάζουν σπίτι (43.0</w:t>
      </w:r>
      <w:r>
        <w:rPr>
          <w:rFonts w:cs="Times New Roman"/>
          <w:lang w:eastAsia="zh-CN" w:bidi="hi-IN"/>
        </w:rPr>
        <w:t>±20.6).</w:t>
      </w:r>
    </w:p>
    <w:p w:rsidR="001B3514" w:rsidRDefault="001B3514">
      <w:pPr>
        <w:rPr>
          <w:lang w:eastAsia="zh-CN" w:bidi="hi-IN"/>
        </w:rPr>
      </w:pPr>
    </w:p>
    <w:p w:rsidR="001B3514" w:rsidRDefault="00782E3E">
      <w:pPr>
        <w:pStyle w:val="aa"/>
        <w:rPr>
          <w:lang w:eastAsia="zh-CN" w:bidi="hi-IN"/>
        </w:rPr>
      </w:pPr>
      <w:bookmarkStart w:id="58" w:name="_Toc64641825"/>
      <w:r>
        <w:t xml:space="preserve">Πίνακας </w:t>
      </w:r>
      <w:r w:rsidR="00B061D7">
        <w:fldChar w:fldCharType="begin"/>
      </w:r>
      <w:r>
        <w:instrText>SEQ Πίνακας \* ARABIC</w:instrText>
      </w:r>
      <w:r w:rsidR="00B061D7">
        <w:fldChar w:fldCharType="separate"/>
      </w:r>
      <w:r w:rsidR="001D06AA">
        <w:rPr>
          <w:noProof/>
        </w:rPr>
        <w:t>18</w:t>
      </w:r>
      <w:r w:rsidR="00B061D7">
        <w:fldChar w:fldCharType="end"/>
      </w:r>
      <w:r>
        <w:t xml:space="preserve"> Αποτελέσματα συσχέτισης της ύπαρξης εξοχικού του δείγματος με τη κλίμακα SCL90</w:t>
      </w:r>
      <w:bookmarkEnd w:id="58"/>
    </w:p>
    <w:tbl>
      <w:tblPr>
        <w:tblW w:w="8700" w:type="dxa"/>
        <w:jc w:val="center"/>
        <w:tblBorders>
          <w:top w:val="single" w:sz="4" w:space="0" w:color="000001"/>
          <w:bottom w:val="single" w:sz="4" w:space="0" w:color="000001"/>
          <w:insideH w:val="single" w:sz="4" w:space="0" w:color="000001"/>
        </w:tblBorders>
        <w:tblLook w:val="04A0"/>
      </w:tblPr>
      <w:tblGrid>
        <w:gridCol w:w="2081"/>
        <w:gridCol w:w="860"/>
        <w:gridCol w:w="960"/>
        <w:gridCol w:w="959"/>
        <w:gridCol w:w="960"/>
        <w:gridCol w:w="960"/>
        <w:gridCol w:w="959"/>
        <w:gridCol w:w="961"/>
      </w:tblGrid>
      <w:tr w:rsidR="001B3514">
        <w:trPr>
          <w:trHeight w:val="267"/>
          <w:jc w:val="center"/>
        </w:trPr>
        <w:tc>
          <w:tcPr>
            <w:tcW w:w="208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Έχετε εξοχικό;</w:t>
            </w:r>
          </w:p>
        </w:tc>
        <w:tc>
          <w:tcPr>
            <w:tcW w:w="8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N</w:t>
            </w:r>
          </w:p>
        </w:tc>
        <w:tc>
          <w:tcPr>
            <w:tcW w:w="95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Mean</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SD</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t</w:t>
            </w:r>
          </w:p>
        </w:tc>
        <w:tc>
          <w:tcPr>
            <w:tcW w:w="95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df</w:t>
            </w:r>
          </w:p>
        </w:tc>
        <w:tc>
          <w:tcPr>
            <w:tcW w:w="96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Sig.</w:t>
            </w:r>
          </w:p>
        </w:tc>
      </w:tr>
      <w:tr w:rsidR="001B3514">
        <w:trPr>
          <w:trHeight w:val="267"/>
          <w:jc w:val="center"/>
        </w:trPr>
        <w:tc>
          <w:tcPr>
            <w:tcW w:w="208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Γενικός δείκτης συμπτωμάτων (SCL90)</w:t>
            </w:r>
          </w:p>
        </w:tc>
        <w:tc>
          <w:tcPr>
            <w:tcW w:w="8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Ναι</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13</w:t>
            </w:r>
          </w:p>
        </w:tc>
        <w:tc>
          <w:tcPr>
            <w:tcW w:w="95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0.4</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0.3</w:t>
            </w:r>
          </w:p>
        </w:tc>
        <w:tc>
          <w:tcPr>
            <w:tcW w:w="96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-2.405</w:t>
            </w:r>
          </w:p>
        </w:tc>
        <w:tc>
          <w:tcPr>
            <w:tcW w:w="959"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98</w:t>
            </w:r>
          </w:p>
        </w:tc>
        <w:tc>
          <w:tcPr>
            <w:tcW w:w="961"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0.018</w:t>
            </w:r>
          </w:p>
        </w:tc>
      </w:tr>
      <w:tr w:rsidR="001B3514">
        <w:trPr>
          <w:trHeight w:val="267"/>
          <w:jc w:val="center"/>
        </w:trPr>
        <w:tc>
          <w:tcPr>
            <w:tcW w:w="208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8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Όχι</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87</w:t>
            </w:r>
          </w:p>
        </w:tc>
        <w:tc>
          <w:tcPr>
            <w:tcW w:w="95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0.9</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0.6</w:t>
            </w:r>
          </w:p>
        </w:tc>
        <w:tc>
          <w:tcPr>
            <w:tcW w:w="96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959"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961"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r>
      <w:tr w:rsidR="001B3514">
        <w:trPr>
          <w:trHeight w:val="267"/>
          <w:jc w:val="center"/>
        </w:trPr>
        <w:tc>
          <w:tcPr>
            <w:tcW w:w="208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Σύνολο των θετικών συμπτωμάτων (SCL90)</w:t>
            </w:r>
          </w:p>
        </w:tc>
        <w:tc>
          <w:tcPr>
            <w:tcW w:w="8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Ναι</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13</w:t>
            </w:r>
          </w:p>
        </w:tc>
        <w:tc>
          <w:tcPr>
            <w:tcW w:w="95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28.4</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17.8</w:t>
            </w:r>
          </w:p>
        </w:tc>
        <w:tc>
          <w:tcPr>
            <w:tcW w:w="96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-2.307</w:t>
            </w:r>
          </w:p>
        </w:tc>
        <w:tc>
          <w:tcPr>
            <w:tcW w:w="959"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98</w:t>
            </w:r>
          </w:p>
        </w:tc>
        <w:tc>
          <w:tcPr>
            <w:tcW w:w="961"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0.023</w:t>
            </w:r>
          </w:p>
        </w:tc>
      </w:tr>
      <w:tr w:rsidR="001B3514">
        <w:trPr>
          <w:trHeight w:val="267"/>
          <w:jc w:val="center"/>
        </w:trPr>
        <w:tc>
          <w:tcPr>
            <w:tcW w:w="208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8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Όχι</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87</w:t>
            </w:r>
          </w:p>
        </w:tc>
        <w:tc>
          <w:tcPr>
            <w:tcW w:w="95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42.4</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20.8</w:t>
            </w:r>
          </w:p>
        </w:tc>
        <w:tc>
          <w:tcPr>
            <w:tcW w:w="96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959"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961"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r>
      <w:tr w:rsidR="001B3514">
        <w:trPr>
          <w:trHeight w:val="267"/>
          <w:jc w:val="center"/>
        </w:trPr>
        <w:tc>
          <w:tcPr>
            <w:tcW w:w="208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Δείκτης ενόχλησης των θετικών συμπτωμάτων (SCL90)</w:t>
            </w:r>
          </w:p>
        </w:tc>
        <w:tc>
          <w:tcPr>
            <w:tcW w:w="8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Ναι</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13</w:t>
            </w:r>
          </w:p>
        </w:tc>
        <w:tc>
          <w:tcPr>
            <w:tcW w:w="95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1.4</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0.3</w:t>
            </w:r>
          </w:p>
        </w:tc>
        <w:tc>
          <w:tcPr>
            <w:tcW w:w="96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-2.430</w:t>
            </w:r>
          </w:p>
        </w:tc>
        <w:tc>
          <w:tcPr>
            <w:tcW w:w="959"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98</w:t>
            </w:r>
          </w:p>
        </w:tc>
        <w:tc>
          <w:tcPr>
            <w:tcW w:w="961"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0.017</w:t>
            </w:r>
          </w:p>
        </w:tc>
      </w:tr>
      <w:tr w:rsidR="001B3514">
        <w:trPr>
          <w:trHeight w:val="267"/>
          <w:jc w:val="center"/>
        </w:trPr>
        <w:tc>
          <w:tcPr>
            <w:tcW w:w="208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8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Όχι</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87</w:t>
            </w:r>
          </w:p>
        </w:tc>
        <w:tc>
          <w:tcPr>
            <w:tcW w:w="95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1.8</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0.5</w:t>
            </w:r>
          </w:p>
        </w:tc>
        <w:tc>
          <w:tcPr>
            <w:tcW w:w="96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959"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961"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r>
    </w:tbl>
    <w:p w:rsidR="001B3514" w:rsidRDefault="00782E3E">
      <w:pPr>
        <w:rPr>
          <w:lang w:eastAsia="zh-CN" w:bidi="hi-IN"/>
        </w:rPr>
      </w:pPr>
      <w:r>
        <w:rPr>
          <w:lang w:eastAsia="zh-CN" w:bidi="hi-IN"/>
        </w:rPr>
        <w:t>Σχετικά με τον παραπάνω έλεγχο μέσων τιμών φαίνεται πως υπάρχει στατιστικώς σημαντική διαφορά ανάμεσα στην ύπαρξη εξοχικού και τις μεταβλητές «Γενικός δείκτης συμπτωμάτων (SCL90)» (Sig=0.018&lt;0.05), «Σύνολο των θετικών συμπτωμάτων (SCL90)» (Sig=0.023&lt;0.05) και «Δείκτης ενόχλησης των θετικών συμπτωμάτων (SCL90)» (Sig=0.017&lt;0.05). Τη μεγαλύτερη μέση τιμή συγκεντρώνουν όσοι από τους ερωτηθέντες δεν έχουν εξοχικό σπίτι.</w:t>
      </w:r>
    </w:p>
    <w:p w:rsidR="001B3514" w:rsidRDefault="001B3514">
      <w:pPr>
        <w:rPr>
          <w:lang w:eastAsia="zh-CN" w:bidi="hi-IN"/>
        </w:rPr>
      </w:pPr>
    </w:p>
    <w:p w:rsidR="001B3514" w:rsidRDefault="00782E3E">
      <w:pPr>
        <w:pStyle w:val="aa"/>
        <w:rPr>
          <w:lang w:eastAsia="zh-CN" w:bidi="hi-IN"/>
        </w:rPr>
      </w:pPr>
      <w:bookmarkStart w:id="59" w:name="_Toc64641826"/>
      <w:r>
        <w:t xml:space="preserve">Πίνακας </w:t>
      </w:r>
      <w:r w:rsidR="00B061D7">
        <w:fldChar w:fldCharType="begin"/>
      </w:r>
      <w:r>
        <w:instrText>SEQ Πίνακας \* ARABIC</w:instrText>
      </w:r>
      <w:r w:rsidR="00B061D7">
        <w:fldChar w:fldCharType="separate"/>
      </w:r>
      <w:r w:rsidR="001D06AA">
        <w:rPr>
          <w:noProof/>
        </w:rPr>
        <w:t>19</w:t>
      </w:r>
      <w:r w:rsidR="00B061D7">
        <w:fldChar w:fldCharType="end"/>
      </w:r>
      <w:r>
        <w:t xml:space="preserve"> Αποτελέσματα συσχέτισης της ύπαρξης δανείων του δείγματος με τη κλίμακα EPQ</w:t>
      </w:r>
      <w:bookmarkEnd w:id="59"/>
    </w:p>
    <w:tbl>
      <w:tblPr>
        <w:tblW w:w="7563" w:type="dxa"/>
        <w:jc w:val="center"/>
        <w:tblBorders>
          <w:top w:val="single" w:sz="4" w:space="0" w:color="000001"/>
          <w:bottom w:val="single" w:sz="4" w:space="0" w:color="000001"/>
          <w:insideH w:val="single" w:sz="4" w:space="0" w:color="000001"/>
        </w:tblBorders>
        <w:tblLook w:val="04A0"/>
      </w:tblPr>
      <w:tblGrid>
        <w:gridCol w:w="1521"/>
        <w:gridCol w:w="580"/>
        <w:gridCol w:w="775"/>
        <w:gridCol w:w="946"/>
        <w:gridCol w:w="928"/>
        <w:gridCol w:w="944"/>
        <w:gridCol w:w="923"/>
        <w:gridCol w:w="946"/>
      </w:tblGrid>
      <w:tr w:rsidR="001B3514">
        <w:trPr>
          <w:trHeight w:val="252"/>
          <w:jc w:val="center"/>
        </w:trPr>
        <w:tc>
          <w:tcPr>
            <w:tcW w:w="141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Έχετε δάνεια;</w:t>
            </w:r>
          </w:p>
        </w:tc>
        <w:tc>
          <w:tcPr>
            <w:tcW w:w="55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w:t>
            </w:r>
          </w:p>
        </w:tc>
        <w:tc>
          <w:tcPr>
            <w:tcW w:w="80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N</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Mean</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SD</w:t>
            </w:r>
          </w:p>
        </w:tc>
        <w:tc>
          <w:tcPr>
            <w:tcW w:w="95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t</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df</w:t>
            </w:r>
          </w:p>
        </w:tc>
        <w:tc>
          <w:tcPr>
            <w:tcW w:w="96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Sig.</w:t>
            </w:r>
          </w:p>
        </w:tc>
      </w:tr>
      <w:tr w:rsidR="001B3514">
        <w:trPr>
          <w:trHeight w:val="252"/>
          <w:jc w:val="center"/>
        </w:trPr>
        <w:tc>
          <w:tcPr>
            <w:tcW w:w="1412"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Νευρωτισμός (EPQ)</w:t>
            </w:r>
          </w:p>
        </w:tc>
        <w:tc>
          <w:tcPr>
            <w:tcW w:w="55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Ναι</w:t>
            </w:r>
          </w:p>
        </w:tc>
        <w:tc>
          <w:tcPr>
            <w:tcW w:w="80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35</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1.4</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0.2</w:t>
            </w:r>
          </w:p>
        </w:tc>
        <w:tc>
          <w:tcPr>
            <w:tcW w:w="959"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-2.001</w:t>
            </w:r>
          </w:p>
        </w:tc>
        <w:tc>
          <w:tcPr>
            <w:tcW w:w="96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98</w:t>
            </w:r>
          </w:p>
        </w:tc>
        <w:tc>
          <w:tcPr>
            <w:tcW w:w="961"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0.048</w:t>
            </w:r>
          </w:p>
        </w:tc>
      </w:tr>
      <w:tr w:rsidR="001B3514">
        <w:trPr>
          <w:trHeight w:val="252"/>
          <w:jc w:val="center"/>
        </w:trPr>
        <w:tc>
          <w:tcPr>
            <w:tcW w:w="1412"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55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Όχι</w:t>
            </w:r>
          </w:p>
        </w:tc>
        <w:tc>
          <w:tcPr>
            <w:tcW w:w="80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65</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1.5</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0.2</w:t>
            </w:r>
          </w:p>
        </w:tc>
        <w:tc>
          <w:tcPr>
            <w:tcW w:w="959"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96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961"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r>
    </w:tbl>
    <w:p w:rsidR="001B3514" w:rsidRDefault="00782E3E">
      <w:pPr>
        <w:rPr>
          <w:lang w:eastAsia="zh-CN" w:bidi="hi-IN"/>
        </w:rPr>
      </w:pPr>
      <w:r>
        <w:rPr>
          <w:lang w:eastAsia="zh-CN" w:bidi="hi-IN"/>
        </w:rPr>
        <w:lastRenderedPageBreak/>
        <w:t>Σύμφωνα με τον παραπάνω έλεγχο μέσων τιμών φαίνεται πως υπάρχει στατιστικώς σημαντική διαφορά ανάμεσα στην ύπαρξη δανείων και τη μεταβλητή «Νευρωτισμός (</w:t>
      </w:r>
      <w:bookmarkStart w:id="60" w:name="_Hlk64304496"/>
      <w:r>
        <w:rPr>
          <w:lang w:eastAsia="zh-CN" w:bidi="hi-IN"/>
        </w:rPr>
        <w:t>EPQ</w:t>
      </w:r>
      <w:bookmarkEnd w:id="60"/>
      <w:r>
        <w:rPr>
          <w:lang w:eastAsia="zh-CN" w:bidi="hi-IN"/>
        </w:rPr>
        <w:t>)» (Sig=0.048&lt;0.05). Τη μεγαλύτερη μέση τιμή συγκεντρώνουν όσοι από τους ερωτηθέντες δεν έχουν δάνεια (1.5±0.2).</w:t>
      </w:r>
    </w:p>
    <w:p w:rsidR="001B3514" w:rsidRDefault="001B3514">
      <w:pPr>
        <w:rPr>
          <w:lang w:eastAsia="zh-CN" w:bidi="hi-IN"/>
        </w:rPr>
      </w:pPr>
    </w:p>
    <w:p w:rsidR="001B3514" w:rsidRDefault="00782E3E">
      <w:pPr>
        <w:pStyle w:val="aa"/>
        <w:rPr>
          <w:lang w:eastAsia="zh-CN" w:bidi="hi-IN"/>
        </w:rPr>
      </w:pPr>
      <w:bookmarkStart w:id="61" w:name="_Toc64641827"/>
      <w:r>
        <w:t xml:space="preserve">Πίνακας </w:t>
      </w:r>
      <w:r w:rsidR="00B061D7">
        <w:fldChar w:fldCharType="begin"/>
      </w:r>
      <w:r>
        <w:instrText>SEQ Πίνακας \* ARABIC</w:instrText>
      </w:r>
      <w:r w:rsidR="00B061D7">
        <w:fldChar w:fldCharType="separate"/>
      </w:r>
      <w:r w:rsidR="001D06AA">
        <w:rPr>
          <w:noProof/>
        </w:rPr>
        <w:t>20</w:t>
      </w:r>
      <w:r w:rsidR="00B061D7">
        <w:fldChar w:fldCharType="end"/>
      </w:r>
      <w:r>
        <w:t xml:space="preserve"> Αποτελέσματα συσχέτισης της ύπαρξης αδελφών του δείγματος με τη κλίμακα BMQ - SCL90</w:t>
      </w:r>
      <w:bookmarkEnd w:id="61"/>
    </w:p>
    <w:tbl>
      <w:tblPr>
        <w:tblW w:w="8275" w:type="dxa"/>
        <w:jc w:val="center"/>
        <w:tblBorders>
          <w:top w:val="single" w:sz="4" w:space="0" w:color="000001"/>
          <w:bottom w:val="single" w:sz="4" w:space="0" w:color="000001"/>
          <w:insideH w:val="single" w:sz="4" w:space="0" w:color="000001"/>
        </w:tblBorders>
        <w:tblLook w:val="04A0"/>
      </w:tblPr>
      <w:tblGrid>
        <w:gridCol w:w="2707"/>
        <w:gridCol w:w="587"/>
        <w:gridCol w:w="712"/>
        <w:gridCol w:w="854"/>
        <w:gridCol w:w="854"/>
        <w:gridCol w:w="854"/>
        <w:gridCol w:w="854"/>
        <w:gridCol w:w="853"/>
      </w:tblGrid>
      <w:tr w:rsidR="001B3514">
        <w:trPr>
          <w:trHeight w:val="291"/>
          <w:jc w:val="center"/>
        </w:trPr>
        <w:tc>
          <w:tcPr>
            <w:tcW w:w="270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Έχετε αδέρφια;</w:t>
            </w:r>
          </w:p>
        </w:tc>
        <w:tc>
          <w:tcPr>
            <w:tcW w:w="58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w:t>
            </w:r>
          </w:p>
        </w:tc>
        <w:tc>
          <w:tcPr>
            <w:tcW w:w="71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N</w:t>
            </w:r>
          </w:p>
        </w:tc>
        <w:tc>
          <w:tcPr>
            <w:tcW w:w="85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Mean</w:t>
            </w:r>
          </w:p>
        </w:tc>
        <w:tc>
          <w:tcPr>
            <w:tcW w:w="85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SD</w:t>
            </w:r>
          </w:p>
        </w:tc>
        <w:tc>
          <w:tcPr>
            <w:tcW w:w="85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t</w:t>
            </w:r>
          </w:p>
        </w:tc>
        <w:tc>
          <w:tcPr>
            <w:tcW w:w="85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df</w:t>
            </w:r>
          </w:p>
        </w:tc>
        <w:tc>
          <w:tcPr>
            <w:tcW w:w="85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Sig.</w:t>
            </w:r>
          </w:p>
        </w:tc>
      </w:tr>
      <w:tr w:rsidR="001B3514">
        <w:trPr>
          <w:trHeight w:val="291"/>
          <w:jc w:val="center"/>
        </w:trPr>
        <w:tc>
          <w:tcPr>
            <w:tcW w:w="2706"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Οι απόψεις σας για τα φάρμακα που σας έγραψαν οι γιατροί σας (BMQ10)</w:t>
            </w:r>
          </w:p>
        </w:tc>
        <w:tc>
          <w:tcPr>
            <w:tcW w:w="58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Ναι</w:t>
            </w:r>
          </w:p>
        </w:tc>
        <w:tc>
          <w:tcPr>
            <w:tcW w:w="71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88</w:t>
            </w:r>
          </w:p>
        </w:tc>
        <w:tc>
          <w:tcPr>
            <w:tcW w:w="85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2.9</w:t>
            </w:r>
          </w:p>
        </w:tc>
        <w:tc>
          <w:tcPr>
            <w:tcW w:w="85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0.7</w:t>
            </w:r>
          </w:p>
        </w:tc>
        <w:tc>
          <w:tcPr>
            <w:tcW w:w="854"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-2.130</w:t>
            </w:r>
          </w:p>
        </w:tc>
        <w:tc>
          <w:tcPr>
            <w:tcW w:w="854"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98</w:t>
            </w:r>
          </w:p>
        </w:tc>
        <w:tc>
          <w:tcPr>
            <w:tcW w:w="853"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0.036</w:t>
            </w:r>
          </w:p>
        </w:tc>
      </w:tr>
      <w:tr w:rsidR="001B3514">
        <w:trPr>
          <w:trHeight w:val="291"/>
          <w:jc w:val="center"/>
        </w:trPr>
        <w:tc>
          <w:tcPr>
            <w:tcW w:w="2706"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58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Όχι</w:t>
            </w:r>
          </w:p>
        </w:tc>
        <w:tc>
          <w:tcPr>
            <w:tcW w:w="71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12</w:t>
            </w:r>
          </w:p>
        </w:tc>
        <w:tc>
          <w:tcPr>
            <w:tcW w:w="85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3.4</w:t>
            </w:r>
          </w:p>
        </w:tc>
        <w:tc>
          <w:tcPr>
            <w:tcW w:w="85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0.6</w:t>
            </w:r>
          </w:p>
        </w:tc>
        <w:tc>
          <w:tcPr>
            <w:tcW w:w="854"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854"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853"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r>
      <w:tr w:rsidR="001B3514">
        <w:trPr>
          <w:trHeight w:val="291"/>
          <w:jc w:val="center"/>
        </w:trPr>
        <w:tc>
          <w:tcPr>
            <w:tcW w:w="2706"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Δείκτης ενόχλησης των θετικών συμπτωμάτων (SCL90)</w:t>
            </w:r>
          </w:p>
        </w:tc>
        <w:tc>
          <w:tcPr>
            <w:tcW w:w="58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Ναι</w:t>
            </w:r>
          </w:p>
        </w:tc>
        <w:tc>
          <w:tcPr>
            <w:tcW w:w="71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88</w:t>
            </w:r>
          </w:p>
        </w:tc>
        <w:tc>
          <w:tcPr>
            <w:tcW w:w="85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1.7</w:t>
            </w:r>
          </w:p>
        </w:tc>
        <w:tc>
          <w:tcPr>
            <w:tcW w:w="85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0.5</w:t>
            </w:r>
          </w:p>
        </w:tc>
        <w:tc>
          <w:tcPr>
            <w:tcW w:w="854"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-2.125</w:t>
            </w:r>
          </w:p>
        </w:tc>
        <w:tc>
          <w:tcPr>
            <w:tcW w:w="854"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98</w:t>
            </w:r>
          </w:p>
        </w:tc>
        <w:tc>
          <w:tcPr>
            <w:tcW w:w="853"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0.036</w:t>
            </w:r>
          </w:p>
        </w:tc>
      </w:tr>
      <w:tr w:rsidR="001B3514">
        <w:trPr>
          <w:trHeight w:val="291"/>
          <w:jc w:val="center"/>
        </w:trPr>
        <w:tc>
          <w:tcPr>
            <w:tcW w:w="2706"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58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Όχι</w:t>
            </w:r>
          </w:p>
        </w:tc>
        <w:tc>
          <w:tcPr>
            <w:tcW w:w="71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12</w:t>
            </w:r>
          </w:p>
        </w:tc>
        <w:tc>
          <w:tcPr>
            <w:tcW w:w="85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2.0</w:t>
            </w:r>
          </w:p>
        </w:tc>
        <w:tc>
          <w:tcPr>
            <w:tcW w:w="85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0.7</w:t>
            </w:r>
          </w:p>
        </w:tc>
        <w:tc>
          <w:tcPr>
            <w:tcW w:w="854"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854"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853"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r>
    </w:tbl>
    <w:p w:rsidR="001B3514" w:rsidRDefault="00782E3E">
      <w:pPr>
        <w:rPr>
          <w:lang w:eastAsia="zh-CN" w:bidi="hi-IN"/>
        </w:rPr>
      </w:pPr>
      <w:r>
        <w:rPr>
          <w:lang w:eastAsia="zh-CN" w:bidi="hi-IN"/>
        </w:rPr>
        <w:t>Σύμφωνα με τον παραπάνω πίνακα υπάρχει στατιστικώς σημαντική διαφορά ανάμεσα στην ύπαρξη αδελφών και τις μεταβλητές «Οι απόψεις σας για τα φάρμακα που σας έγραψαν οι γιατροί σας (BMQ10)» (Sig=0.036&lt;0.05) και «Δείκτης ενόχλησης των θετικών συμπτωμάτων (SCL90)» (Sig=0.036&lt;0.05). Τη μεγαλύτερη μέση τιμή συγκεντρώνουν όσοι δεν έχουν αδέρφια.</w:t>
      </w:r>
    </w:p>
    <w:p w:rsidR="001B3514" w:rsidRDefault="001B3514">
      <w:pPr>
        <w:rPr>
          <w:lang w:eastAsia="zh-CN" w:bidi="hi-IN"/>
        </w:rPr>
      </w:pPr>
    </w:p>
    <w:p w:rsidR="001B3514" w:rsidRDefault="00782E3E">
      <w:pPr>
        <w:pStyle w:val="aa"/>
        <w:rPr>
          <w:lang w:eastAsia="zh-CN" w:bidi="hi-IN"/>
        </w:rPr>
      </w:pPr>
      <w:bookmarkStart w:id="62" w:name="_Toc64641828"/>
      <w:r>
        <w:t xml:space="preserve">Πίνακας </w:t>
      </w:r>
      <w:r w:rsidR="00B061D7">
        <w:fldChar w:fldCharType="begin"/>
      </w:r>
      <w:r>
        <w:instrText>SEQ Πίνακας \* ARABIC</w:instrText>
      </w:r>
      <w:r w:rsidR="00B061D7">
        <w:fldChar w:fldCharType="separate"/>
      </w:r>
      <w:r w:rsidR="001D06AA">
        <w:rPr>
          <w:noProof/>
        </w:rPr>
        <w:t>21</w:t>
      </w:r>
      <w:r w:rsidR="00B061D7">
        <w:fldChar w:fldCharType="end"/>
      </w:r>
      <w:r>
        <w:t xml:space="preserve"> Αποτελέσματα συσχέτισης της ύπαρξης αδελφής του δείγματος με τη κλίμακα EPQ - SCL90</w:t>
      </w:r>
      <w:bookmarkEnd w:id="62"/>
    </w:p>
    <w:tbl>
      <w:tblPr>
        <w:tblW w:w="8600" w:type="dxa"/>
        <w:jc w:val="center"/>
        <w:tblBorders>
          <w:top w:val="single" w:sz="4" w:space="0" w:color="000001"/>
          <w:bottom w:val="single" w:sz="4" w:space="0" w:color="000001"/>
          <w:insideH w:val="single" w:sz="4" w:space="0" w:color="000001"/>
        </w:tblBorders>
        <w:tblLook w:val="04A0"/>
      </w:tblPr>
      <w:tblGrid>
        <w:gridCol w:w="2141"/>
        <w:gridCol w:w="700"/>
        <w:gridCol w:w="960"/>
        <w:gridCol w:w="960"/>
        <w:gridCol w:w="959"/>
        <w:gridCol w:w="960"/>
        <w:gridCol w:w="960"/>
        <w:gridCol w:w="960"/>
      </w:tblGrid>
      <w:tr w:rsidR="001B3514">
        <w:trPr>
          <w:trHeight w:val="292"/>
          <w:jc w:val="center"/>
        </w:trPr>
        <w:tc>
          <w:tcPr>
            <w:tcW w:w="214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Έχετε αδερφή;</w:t>
            </w:r>
          </w:p>
        </w:tc>
        <w:tc>
          <w:tcPr>
            <w:tcW w:w="70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N</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Mean</w:t>
            </w:r>
          </w:p>
        </w:tc>
        <w:tc>
          <w:tcPr>
            <w:tcW w:w="95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SD</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t</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df</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Sig.</w:t>
            </w:r>
          </w:p>
        </w:tc>
      </w:tr>
      <w:tr w:rsidR="001B3514">
        <w:trPr>
          <w:trHeight w:val="292"/>
          <w:jc w:val="center"/>
        </w:trPr>
        <w:tc>
          <w:tcPr>
            <w:tcW w:w="214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Γενικός δείκτης συμπτωμάτων (SCL90)</w:t>
            </w:r>
          </w:p>
        </w:tc>
        <w:tc>
          <w:tcPr>
            <w:tcW w:w="70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Ναι</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62</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0.7</w:t>
            </w:r>
          </w:p>
        </w:tc>
        <w:tc>
          <w:tcPr>
            <w:tcW w:w="95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0.5</w:t>
            </w:r>
          </w:p>
        </w:tc>
        <w:tc>
          <w:tcPr>
            <w:tcW w:w="96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-2.280</w:t>
            </w:r>
          </w:p>
        </w:tc>
        <w:tc>
          <w:tcPr>
            <w:tcW w:w="96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85</w:t>
            </w:r>
          </w:p>
        </w:tc>
        <w:tc>
          <w:tcPr>
            <w:tcW w:w="96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0.025</w:t>
            </w:r>
          </w:p>
        </w:tc>
      </w:tr>
      <w:tr w:rsidR="001B3514">
        <w:trPr>
          <w:trHeight w:val="292"/>
          <w:jc w:val="center"/>
        </w:trPr>
        <w:tc>
          <w:tcPr>
            <w:tcW w:w="214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70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Όχι</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25</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1.0</w:t>
            </w:r>
          </w:p>
        </w:tc>
        <w:tc>
          <w:tcPr>
            <w:tcW w:w="95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0.6</w:t>
            </w:r>
          </w:p>
        </w:tc>
        <w:tc>
          <w:tcPr>
            <w:tcW w:w="96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96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96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r>
      <w:tr w:rsidR="001B3514">
        <w:trPr>
          <w:trHeight w:val="292"/>
          <w:jc w:val="center"/>
        </w:trPr>
        <w:tc>
          <w:tcPr>
            <w:tcW w:w="214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Νευρωτισμός (EPQ)</w:t>
            </w:r>
          </w:p>
        </w:tc>
        <w:tc>
          <w:tcPr>
            <w:tcW w:w="70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Ναι</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62</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1.5</w:t>
            </w:r>
          </w:p>
        </w:tc>
        <w:tc>
          <w:tcPr>
            <w:tcW w:w="95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0.2</w:t>
            </w:r>
          </w:p>
        </w:tc>
        <w:tc>
          <w:tcPr>
            <w:tcW w:w="96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2.521</w:t>
            </w:r>
          </w:p>
        </w:tc>
        <w:tc>
          <w:tcPr>
            <w:tcW w:w="96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85</w:t>
            </w:r>
          </w:p>
        </w:tc>
        <w:tc>
          <w:tcPr>
            <w:tcW w:w="96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0.014</w:t>
            </w:r>
          </w:p>
        </w:tc>
      </w:tr>
      <w:tr w:rsidR="001B3514">
        <w:trPr>
          <w:trHeight w:val="292"/>
          <w:jc w:val="center"/>
        </w:trPr>
        <w:tc>
          <w:tcPr>
            <w:tcW w:w="214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70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Όχι</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25</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1.4</w:t>
            </w:r>
          </w:p>
        </w:tc>
        <w:tc>
          <w:tcPr>
            <w:tcW w:w="95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0.2</w:t>
            </w:r>
          </w:p>
        </w:tc>
        <w:tc>
          <w:tcPr>
            <w:tcW w:w="96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96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96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r>
    </w:tbl>
    <w:p w:rsidR="001B3514" w:rsidRDefault="00782E3E">
      <w:pPr>
        <w:rPr>
          <w:lang w:eastAsia="zh-CN" w:bidi="hi-IN"/>
        </w:rPr>
      </w:pPr>
      <w:r>
        <w:rPr>
          <w:lang w:eastAsia="zh-CN" w:bidi="hi-IN"/>
        </w:rPr>
        <w:t xml:space="preserve">Από τον παραπάνω πίνακα υπάρχει στατιστικώς σημαντική διαφορά ανάμεσα στην ύπαρξη αδελφής και τις μεταβλητές «Γενικός δείκτης συμπτωμάτων (SCL90)» (Sig=0.025&lt;0.05) και «Νευρωτισμός (EPQ)» (Sig=0.014&lt;0.05). </w:t>
      </w:r>
    </w:p>
    <w:p w:rsidR="001B3514" w:rsidRDefault="001B3514">
      <w:pPr>
        <w:rPr>
          <w:lang w:eastAsia="zh-CN" w:bidi="hi-IN"/>
        </w:rPr>
      </w:pPr>
    </w:p>
    <w:p w:rsidR="001B3514" w:rsidRDefault="00782E3E">
      <w:pPr>
        <w:pStyle w:val="aa"/>
        <w:rPr>
          <w:lang w:eastAsia="zh-CN" w:bidi="hi-IN"/>
        </w:rPr>
      </w:pPr>
      <w:bookmarkStart w:id="63" w:name="_Toc64641829"/>
      <w:r>
        <w:t xml:space="preserve">Πίνακας </w:t>
      </w:r>
      <w:r w:rsidR="00B061D7">
        <w:fldChar w:fldCharType="begin"/>
      </w:r>
      <w:r>
        <w:instrText>SEQ Πίνακας \* ARABIC</w:instrText>
      </w:r>
      <w:r w:rsidR="00B061D7">
        <w:fldChar w:fldCharType="separate"/>
      </w:r>
      <w:r w:rsidR="001D06AA">
        <w:rPr>
          <w:noProof/>
        </w:rPr>
        <w:t>22</w:t>
      </w:r>
      <w:r w:rsidR="00B061D7">
        <w:fldChar w:fldCharType="end"/>
      </w:r>
      <w:r>
        <w:t xml:space="preserve"> Αποτελέσματα συσχέτισης της ύπαρξης καλών σχέσεων με τα αδέρφια του δείγματος με τη κλίμακα EPQ - SCL90</w:t>
      </w:r>
      <w:bookmarkEnd w:id="63"/>
    </w:p>
    <w:tbl>
      <w:tblPr>
        <w:tblW w:w="9080" w:type="dxa"/>
        <w:jc w:val="center"/>
        <w:tblBorders>
          <w:top w:val="single" w:sz="4" w:space="0" w:color="000001"/>
          <w:bottom w:val="single" w:sz="4" w:space="0" w:color="000001"/>
          <w:insideH w:val="single" w:sz="4" w:space="0" w:color="000001"/>
        </w:tblBorders>
        <w:tblLook w:val="04A0"/>
      </w:tblPr>
      <w:tblGrid>
        <w:gridCol w:w="2621"/>
        <w:gridCol w:w="700"/>
        <w:gridCol w:w="960"/>
        <w:gridCol w:w="960"/>
        <w:gridCol w:w="959"/>
        <w:gridCol w:w="960"/>
        <w:gridCol w:w="960"/>
        <w:gridCol w:w="960"/>
      </w:tblGrid>
      <w:tr w:rsidR="001B3514">
        <w:trPr>
          <w:trHeight w:val="480"/>
          <w:jc w:val="center"/>
        </w:trPr>
        <w:tc>
          <w:tcPr>
            <w:tcW w:w="262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lastRenderedPageBreak/>
              <w:t>Έχετε καλές σχέσεις με τα αδέρφια σας;</w:t>
            </w:r>
          </w:p>
        </w:tc>
        <w:tc>
          <w:tcPr>
            <w:tcW w:w="70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N</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Mean</w:t>
            </w:r>
          </w:p>
        </w:tc>
        <w:tc>
          <w:tcPr>
            <w:tcW w:w="95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SD</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t</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df</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Sig.</w:t>
            </w:r>
          </w:p>
        </w:tc>
      </w:tr>
      <w:tr w:rsidR="001B3514">
        <w:trPr>
          <w:trHeight w:val="300"/>
          <w:jc w:val="center"/>
        </w:trPr>
        <w:tc>
          <w:tcPr>
            <w:tcW w:w="262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Γενικός δείκτης συμπτωμάτων (SCL90)</w:t>
            </w:r>
          </w:p>
        </w:tc>
        <w:tc>
          <w:tcPr>
            <w:tcW w:w="70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Ναι</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78</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0.7</w:t>
            </w:r>
          </w:p>
        </w:tc>
        <w:tc>
          <w:tcPr>
            <w:tcW w:w="95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0.5</w:t>
            </w:r>
          </w:p>
        </w:tc>
        <w:tc>
          <w:tcPr>
            <w:tcW w:w="96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-4.211</w:t>
            </w:r>
          </w:p>
        </w:tc>
        <w:tc>
          <w:tcPr>
            <w:tcW w:w="96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81</w:t>
            </w:r>
          </w:p>
        </w:tc>
        <w:tc>
          <w:tcPr>
            <w:tcW w:w="96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0.000</w:t>
            </w:r>
          </w:p>
        </w:tc>
      </w:tr>
      <w:tr w:rsidR="001B3514">
        <w:trPr>
          <w:trHeight w:val="300"/>
          <w:jc w:val="center"/>
        </w:trPr>
        <w:tc>
          <w:tcPr>
            <w:tcW w:w="262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70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Όχι</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5</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1.6</w:t>
            </w:r>
          </w:p>
        </w:tc>
        <w:tc>
          <w:tcPr>
            <w:tcW w:w="95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0.6</w:t>
            </w:r>
          </w:p>
        </w:tc>
        <w:tc>
          <w:tcPr>
            <w:tcW w:w="96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96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96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r>
      <w:tr w:rsidR="001B3514">
        <w:trPr>
          <w:trHeight w:val="300"/>
          <w:jc w:val="center"/>
        </w:trPr>
        <w:tc>
          <w:tcPr>
            <w:tcW w:w="262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Σύνολο των θετικών συμπτωμάτων (SCL90)</w:t>
            </w:r>
          </w:p>
        </w:tc>
        <w:tc>
          <w:tcPr>
            <w:tcW w:w="70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Ναι</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78</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38.3</w:t>
            </w:r>
          </w:p>
        </w:tc>
        <w:tc>
          <w:tcPr>
            <w:tcW w:w="95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19.0</w:t>
            </w:r>
          </w:p>
        </w:tc>
        <w:tc>
          <w:tcPr>
            <w:tcW w:w="96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-3.217</w:t>
            </w:r>
          </w:p>
        </w:tc>
        <w:tc>
          <w:tcPr>
            <w:tcW w:w="96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81</w:t>
            </w:r>
          </w:p>
        </w:tc>
        <w:tc>
          <w:tcPr>
            <w:tcW w:w="96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0.002</w:t>
            </w:r>
          </w:p>
        </w:tc>
      </w:tr>
      <w:tr w:rsidR="001B3514">
        <w:trPr>
          <w:trHeight w:val="300"/>
          <w:jc w:val="center"/>
        </w:trPr>
        <w:tc>
          <w:tcPr>
            <w:tcW w:w="262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70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Όχι</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5</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66.4</w:t>
            </w:r>
          </w:p>
        </w:tc>
        <w:tc>
          <w:tcPr>
            <w:tcW w:w="95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17.3</w:t>
            </w:r>
          </w:p>
        </w:tc>
        <w:tc>
          <w:tcPr>
            <w:tcW w:w="96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96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96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r>
      <w:tr w:rsidR="001B3514">
        <w:trPr>
          <w:trHeight w:val="300"/>
          <w:jc w:val="center"/>
        </w:trPr>
        <w:tc>
          <w:tcPr>
            <w:tcW w:w="262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Δείκτης ενόχλησης των θετικών συμπτωμάτων (SCL90)</w:t>
            </w:r>
          </w:p>
        </w:tc>
        <w:tc>
          <w:tcPr>
            <w:tcW w:w="70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Ναι</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78</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1.6</w:t>
            </w:r>
          </w:p>
        </w:tc>
        <w:tc>
          <w:tcPr>
            <w:tcW w:w="95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0.5</w:t>
            </w:r>
          </w:p>
        </w:tc>
        <w:tc>
          <w:tcPr>
            <w:tcW w:w="96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-2.647</w:t>
            </w:r>
          </w:p>
        </w:tc>
        <w:tc>
          <w:tcPr>
            <w:tcW w:w="96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81</w:t>
            </w:r>
          </w:p>
        </w:tc>
        <w:tc>
          <w:tcPr>
            <w:tcW w:w="96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0.010</w:t>
            </w:r>
          </w:p>
        </w:tc>
      </w:tr>
      <w:tr w:rsidR="001B3514">
        <w:trPr>
          <w:trHeight w:val="300"/>
          <w:jc w:val="center"/>
        </w:trPr>
        <w:tc>
          <w:tcPr>
            <w:tcW w:w="262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70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Όχι</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5</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2.2</w:t>
            </w:r>
          </w:p>
        </w:tc>
        <w:tc>
          <w:tcPr>
            <w:tcW w:w="95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0.3</w:t>
            </w:r>
          </w:p>
        </w:tc>
        <w:tc>
          <w:tcPr>
            <w:tcW w:w="96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96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96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r>
      <w:tr w:rsidR="001B3514">
        <w:trPr>
          <w:trHeight w:val="300"/>
          <w:jc w:val="center"/>
        </w:trPr>
        <w:tc>
          <w:tcPr>
            <w:tcW w:w="262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Νευρωτισμός (EPQ)</w:t>
            </w:r>
          </w:p>
        </w:tc>
        <w:tc>
          <w:tcPr>
            <w:tcW w:w="70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Ναι</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78</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1.5</w:t>
            </w:r>
          </w:p>
        </w:tc>
        <w:tc>
          <w:tcPr>
            <w:tcW w:w="95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0.2</w:t>
            </w:r>
          </w:p>
        </w:tc>
        <w:tc>
          <w:tcPr>
            <w:tcW w:w="96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3.495</w:t>
            </w:r>
          </w:p>
        </w:tc>
        <w:tc>
          <w:tcPr>
            <w:tcW w:w="96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81</w:t>
            </w:r>
          </w:p>
        </w:tc>
        <w:tc>
          <w:tcPr>
            <w:tcW w:w="96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0.001</w:t>
            </w:r>
          </w:p>
        </w:tc>
      </w:tr>
      <w:tr w:rsidR="001B3514">
        <w:trPr>
          <w:trHeight w:val="300"/>
          <w:jc w:val="center"/>
        </w:trPr>
        <w:tc>
          <w:tcPr>
            <w:tcW w:w="262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70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Όχι</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5</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1.2</w:t>
            </w:r>
          </w:p>
        </w:tc>
        <w:tc>
          <w:tcPr>
            <w:tcW w:w="95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0.1</w:t>
            </w:r>
          </w:p>
        </w:tc>
        <w:tc>
          <w:tcPr>
            <w:tcW w:w="96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96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96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r>
    </w:tbl>
    <w:p w:rsidR="001B3514" w:rsidRDefault="00782E3E">
      <w:pPr>
        <w:rPr>
          <w:lang w:eastAsia="zh-CN" w:bidi="hi-IN"/>
        </w:rPr>
      </w:pPr>
      <w:r>
        <w:rPr>
          <w:lang w:eastAsia="zh-CN" w:bidi="hi-IN"/>
        </w:rPr>
        <w:t>Σύμφωνα με τον παραπάνω πίνακα υπάρχει στατιστικώς σημαντική διαφορά ανάμεσα στην ύπαρξη καλών σχέσεων με τα αδέρφια και τις μεταβλητές «Γενικός δείκτης συμπτωμάτων (SCL90)» (Sig&lt;0.05), «Σύνολο των θετικών συμπτωμάτων (SCL90)» (Sig=0.002&lt;0.05), «Δείκτης ενόχλησης των θετικών συμπτωμάτων (SCL90)» (Sig=0.010&lt;0.05) και «Νευρωτισμός (EPQ)» (Sig=0.001&lt;0.05). Τη μεγαλύτερη μέση τιμή συγκεντρώνουν όσοι δεν έχουν καλές σχέσεις με τα αδέρφια τους σε κάθε μεταβλητή, εκτός του νευρωτισμού όπου τη μεγαλύτερη μέση τιμή συγκεντρώνουν όσοι διατηρούν καλές σχέσεις με τα αδέρφια τους (1.5±0.2).</w:t>
      </w:r>
    </w:p>
    <w:p w:rsidR="001B3514" w:rsidRDefault="001B3514">
      <w:pPr>
        <w:rPr>
          <w:lang w:eastAsia="zh-CN" w:bidi="hi-IN"/>
        </w:rPr>
      </w:pPr>
    </w:p>
    <w:p w:rsidR="001B3514" w:rsidRDefault="00782E3E">
      <w:pPr>
        <w:pStyle w:val="aa"/>
        <w:rPr>
          <w:lang w:eastAsia="zh-CN" w:bidi="hi-IN"/>
        </w:rPr>
      </w:pPr>
      <w:bookmarkStart w:id="64" w:name="_Toc64641830"/>
      <w:r>
        <w:t xml:space="preserve">Πίνακας </w:t>
      </w:r>
      <w:r w:rsidR="00B061D7">
        <w:fldChar w:fldCharType="begin"/>
      </w:r>
      <w:r>
        <w:instrText>SEQ Πίνακας \* ARABIC</w:instrText>
      </w:r>
      <w:r w:rsidR="00B061D7">
        <w:fldChar w:fldCharType="separate"/>
      </w:r>
      <w:r w:rsidR="001D06AA">
        <w:rPr>
          <w:noProof/>
        </w:rPr>
        <w:t>23</w:t>
      </w:r>
      <w:r w:rsidR="00B061D7">
        <w:fldChar w:fldCharType="end"/>
      </w:r>
      <w:r>
        <w:t xml:space="preserve"> Αποτελέσματα συσχέτισης της ύπαρξης καλών σχέσεων με τους γονείς του δείγματος και τις επιμέρους κλίμακες</w:t>
      </w:r>
      <w:bookmarkEnd w:id="64"/>
      <w:r>
        <w:t xml:space="preserve"> </w:t>
      </w:r>
    </w:p>
    <w:tbl>
      <w:tblPr>
        <w:tblW w:w="9297" w:type="dxa"/>
        <w:jc w:val="center"/>
        <w:tblBorders>
          <w:top w:val="single" w:sz="4" w:space="0" w:color="000001"/>
          <w:bottom w:val="single" w:sz="4" w:space="0" w:color="000001"/>
          <w:insideH w:val="single" w:sz="4" w:space="0" w:color="000001"/>
        </w:tblBorders>
        <w:tblLook w:val="04A0"/>
      </w:tblPr>
      <w:tblGrid>
        <w:gridCol w:w="2637"/>
        <w:gridCol w:w="1437"/>
        <w:gridCol w:w="873"/>
        <w:gridCol w:w="871"/>
        <w:gridCol w:w="871"/>
        <w:gridCol w:w="871"/>
        <w:gridCol w:w="871"/>
        <w:gridCol w:w="866"/>
      </w:tblGrid>
      <w:tr w:rsidR="001B3514">
        <w:trPr>
          <w:trHeight w:val="338"/>
          <w:jc w:val="center"/>
        </w:trPr>
        <w:tc>
          <w:tcPr>
            <w:tcW w:w="263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Έχετε καλές σχέσεις με τους γονείς σας;</w:t>
            </w:r>
          </w:p>
        </w:tc>
        <w:tc>
          <w:tcPr>
            <w:tcW w:w="143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w:t>
            </w:r>
          </w:p>
        </w:tc>
        <w:tc>
          <w:tcPr>
            <w:tcW w:w="87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N</w:t>
            </w:r>
          </w:p>
        </w:tc>
        <w:tc>
          <w:tcPr>
            <w:tcW w:w="87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Mean</w:t>
            </w:r>
          </w:p>
        </w:tc>
        <w:tc>
          <w:tcPr>
            <w:tcW w:w="87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SD</w:t>
            </w:r>
          </w:p>
        </w:tc>
        <w:tc>
          <w:tcPr>
            <w:tcW w:w="87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t</w:t>
            </w:r>
          </w:p>
        </w:tc>
        <w:tc>
          <w:tcPr>
            <w:tcW w:w="87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df</w:t>
            </w:r>
          </w:p>
        </w:tc>
        <w:tc>
          <w:tcPr>
            <w:tcW w:w="86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Sig.</w:t>
            </w:r>
          </w:p>
        </w:tc>
      </w:tr>
      <w:tr w:rsidR="001B3514">
        <w:trPr>
          <w:trHeight w:val="211"/>
          <w:jc w:val="center"/>
        </w:trPr>
        <w:tc>
          <w:tcPr>
            <w:tcW w:w="2636"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Οι απόψεις σας για τα φάρμακα γενικά (BMQ12 General)</w:t>
            </w:r>
          </w:p>
        </w:tc>
        <w:tc>
          <w:tcPr>
            <w:tcW w:w="143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Ναι</w:t>
            </w:r>
          </w:p>
        </w:tc>
        <w:tc>
          <w:tcPr>
            <w:tcW w:w="87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91</w:t>
            </w:r>
          </w:p>
        </w:tc>
        <w:tc>
          <w:tcPr>
            <w:tcW w:w="87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3.2</w:t>
            </w:r>
          </w:p>
        </w:tc>
        <w:tc>
          <w:tcPr>
            <w:tcW w:w="87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0.5</w:t>
            </w:r>
          </w:p>
        </w:tc>
        <w:tc>
          <w:tcPr>
            <w:tcW w:w="871"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-2.060</w:t>
            </w:r>
          </w:p>
        </w:tc>
        <w:tc>
          <w:tcPr>
            <w:tcW w:w="871"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94</w:t>
            </w:r>
          </w:p>
        </w:tc>
        <w:tc>
          <w:tcPr>
            <w:tcW w:w="866"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0.042</w:t>
            </w:r>
          </w:p>
        </w:tc>
      </w:tr>
      <w:tr w:rsidR="001B3514">
        <w:trPr>
          <w:trHeight w:val="211"/>
          <w:jc w:val="center"/>
        </w:trPr>
        <w:tc>
          <w:tcPr>
            <w:tcW w:w="2636"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43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Όχι με τον πατέρα</w:t>
            </w:r>
          </w:p>
        </w:tc>
        <w:tc>
          <w:tcPr>
            <w:tcW w:w="87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5</w:t>
            </w:r>
          </w:p>
        </w:tc>
        <w:tc>
          <w:tcPr>
            <w:tcW w:w="87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3.6</w:t>
            </w:r>
          </w:p>
        </w:tc>
        <w:tc>
          <w:tcPr>
            <w:tcW w:w="87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0.5</w:t>
            </w:r>
          </w:p>
        </w:tc>
        <w:tc>
          <w:tcPr>
            <w:tcW w:w="871"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871"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866"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r>
      <w:tr w:rsidR="001B3514">
        <w:trPr>
          <w:trHeight w:val="211"/>
          <w:jc w:val="center"/>
        </w:trPr>
        <w:tc>
          <w:tcPr>
            <w:tcW w:w="2636"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Οι απόψεις σας για τα φάρμακα που σας έγραψαν οι γιατροί σας (BMQ10)</w:t>
            </w:r>
          </w:p>
        </w:tc>
        <w:tc>
          <w:tcPr>
            <w:tcW w:w="143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Ναι</w:t>
            </w:r>
          </w:p>
        </w:tc>
        <w:tc>
          <w:tcPr>
            <w:tcW w:w="87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91</w:t>
            </w:r>
          </w:p>
        </w:tc>
        <w:tc>
          <w:tcPr>
            <w:tcW w:w="87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2.9</w:t>
            </w:r>
          </w:p>
        </w:tc>
        <w:tc>
          <w:tcPr>
            <w:tcW w:w="87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0.7</w:t>
            </w:r>
          </w:p>
        </w:tc>
        <w:tc>
          <w:tcPr>
            <w:tcW w:w="871"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-2.081</w:t>
            </w:r>
          </w:p>
        </w:tc>
        <w:tc>
          <w:tcPr>
            <w:tcW w:w="871"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94</w:t>
            </w:r>
          </w:p>
        </w:tc>
        <w:tc>
          <w:tcPr>
            <w:tcW w:w="866"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0.040</w:t>
            </w:r>
          </w:p>
        </w:tc>
      </w:tr>
      <w:tr w:rsidR="001B3514">
        <w:trPr>
          <w:trHeight w:val="211"/>
          <w:jc w:val="center"/>
        </w:trPr>
        <w:tc>
          <w:tcPr>
            <w:tcW w:w="2636"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43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Όχι με τον πατέρα</w:t>
            </w:r>
          </w:p>
        </w:tc>
        <w:tc>
          <w:tcPr>
            <w:tcW w:w="87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5</w:t>
            </w:r>
          </w:p>
        </w:tc>
        <w:tc>
          <w:tcPr>
            <w:tcW w:w="87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3.5</w:t>
            </w:r>
          </w:p>
        </w:tc>
        <w:tc>
          <w:tcPr>
            <w:tcW w:w="87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0.5</w:t>
            </w:r>
          </w:p>
        </w:tc>
        <w:tc>
          <w:tcPr>
            <w:tcW w:w="871"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871"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866"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r>
      <w:tr w:rsidR="001B3514">
        <w:trPr>
          <w:trHeight w:val="211"/>
          <w:jc w:val="center"/>
        </w:trPr>
        <w:tc>
          <w:tcPr>
            <w:tcW w:w="2636"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Γενικός δείκτης συμπτωμάτων (SCL90)</w:t>
            </w:r>
          </w:p>
        </w:tc>
        <w:tc>
          <w:tcPr>
            <w:tcW w:w="143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Ναι</w:t>
            </w:r>
          </w:p>
        </w:tc>
        <w:tc>
          <w:tcPr>
            <w:tcW w:w="87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91</w:t>
            </w:r>
          </w:p>
        </w:tc>
        <w:tc>
          <w:tcPr>
            <w:tcW w:w="87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0.7</w:t>
            </w:r>
          </w:p>
        </w:tc>
        <w:tc>
          <w:tcPr>
            <w:tcW w:w="87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0.5</w:t>
            </w:r>
          </w:p>
        </w:tc>
        <w:tc>
          <w:tcPr>
            <w:tcW w:w="871"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-4.129</w:t>
            </w:r>
          </w:p>
        </w:tc>
        <w:tc>
          <w:tcPr>
            <w:tcW w:w="871"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94</w:t>
            </w:r>
          </w:p>
        </w:tc>
        <w:tc>
          <w:tcPr>
            <w:tcW w:w="866"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0.000</w:t>
            </w:r>
          </w:p>
        </w:tc>
      </w:tr>
      <w:tr w:rsidR="001B3514">
        <w:trPr>
          <w:trHeight w:val="211"/>
          <w:jc w:val="center"/>
        </w:trPr>
        <w:tc>
          <w:tcPr>
            <w:tcW w:w="2636"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43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Όχι με τον πατέρα</w:t>
            </w:r>
          </w:p>
        </w:tc>
        <w:tc>
          <w:tcPr>
            <w:tcW w:w="87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5</w:t>
            </w:r>
          </w:p>
        </w:tc>
        <w:tc>
          <w:tcPr>
            <w:tcW w:w="87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1.8</w:t>
            </w:r>
          </w:p>
        </w:tc>
        <w:tc>
          <w:tcPr>
            <w:tcW w:w="87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1.1</w:t>
            </w:r>
          </w:p>
        </w:tc>
        <w:tc>
          <w:tcPr>
            <w:tcW w:w="871"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871"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866"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r>
      <w:tr w:rsidR="001B3514">
        <w:trPr>
          <w:trHeight w:val="211"/>
          <w:jc w:val="center"/>
        </w:trPr>
        <w:tc>
          <w:tcPr>
            <w:tcW w:w="2636"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Σύνολο των θετικών συμπτωμάτων (SCL90)</w:t>
            </w:r>
          </w:p>
        </w:tc>
        <w:tc>
          <w:tcPr>
            <w:tcW w:w="143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Ναι</w:t>
            </w:r>
          </w:p>
        </w:tc>
        <w:tc>
          <w:tcPr>
            <w:tcW w:w="87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91</w:t>
            </w:r>
          </w:p>
        </w:tc>
        <w:tc>
          <w:tcPr>
            <w:tcW w:w="87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39.0</w:t>
            </w:r>
          </w:p>
        </w:tc>
        <w:tc>
          <w:tcPr>
            <w:tcW w:w="87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20.0</w:t>
            </w:r>
          </w:p>
        </w:tc>
        <w:tc>
          <w:tcPr>
            <w:tcW w:w="871"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-2.742</w:t>
            </w:r>
          </w:p>
        </w:tc>
        <w:tc>
          <w:tcPr>
            <w:tcW w:w="871"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94</w:t>
            </w:r>
          </w:p>
        </w:tc>
        <w:tc>
          <w:tcPr>
            <w:tcW w:w="866"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0.007</w:t>
            </w:r>
          </w:p>
        </w:tc>
      </w:tr>
      <w:tr w:rsidR="001B3514">
        <w:trPr>
          <w:trHeight w:val="211"/>
          <w:jc w:val="center"/>
        </w:trPr>
        <w:tc>
          <w:tcPr>
            <w:tcW w:w="2636"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43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Όχι με τον πατέρα</w:t>
            </w:r>
          </w:p>
        </w:tc>
        <w:tc>
          <w:tcPr>
            <w:tcW w:w="87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5</w:t>
            </w:r>
          </w:p>
        </w:tc>
        <w:tc>
          <w:tcPr>
            <w:tcW w:w="87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64.2</w:t>
            </w:r>
          </w:p>
        </w:tc>
        <w:tc>
          <w:tcPr>
            <w:tcW w:w="87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19.7</w:t>
            </w:r>
          </w:p>
        </w:tc>
        <w:tc>
          <w:tcPr>
            <w:tcW w:w="871"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871"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866"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r>
      <w:tr w:rsidR="001B3514">
        <w:trPr>
          <w:trHeight w:val="211"/>
          <w:jc w:val="center"/>
        </w:trPr>
        <w:tc>
          <w:tcPr>
            <w:tcW w:w="2636"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xml:space="preserve">Δείκτης ενόχλησης των θετικών συμπτωμάτων </w:t>
            </w:r>
            <w:r>
              <w:rPr>
                <w:lang w:eastAsia="el-GR"/>
              </w:rPr>
              <w:lastRenderedPageBreak/>
              <w:t>(SCL90)</w:t>
            </w:r>
          </w:p>
        </w:tc>
        <w:tc>
          <w:tcPr>
            <w:tcW w:w="143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lastRenderedPageBreak/>
              <w:t>Ναι</w:t>
            </w:r>
          </w:p>
        </w:tc>
        <w:tc>
          <w:tcPr>
            <w:tcW w:w="87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91</w:t>
            </w:r>
          </w:p>
        </w:tc>
        <w:tc>
          <w:tcPr>
            <w:tcW w:w="87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1.7</w:t>
            </w:r>
          </w:p>
        </w:tc>
        <w:tc>
          <w:tcPr>
            <w:tcW w:w="87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0.4</w:t>
            </w:r>
          </w:p>
        </w:tc>
        <w:tc>
          <w:tcPr>
            <w:tcW w:w="871"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-2.954</w:t>
            </w:r>
          </w:p>
        </w:tc>
        <w:tc>
          <w:tcPr>
            <w:tcW w:w="871"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94</w:t>
            </w:r>
          </w:p>
        </w:tc>
        <w:tc>
          <w:tcPr>
            <w:tcW w:w="866"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0.004</w:t>
            </w:r>
          </w:p>
        </w:tc>
      </w:tr>
      <w:tr w:rsidR="001B3514">
        <w:trPr>
          <w:trHeight w:val="211"/>
          <w:jc w:val="center"/>
        </w:trPr>
        <w:tc>
          <w:tcPr>
            <w:tcW w:w="2636"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43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xml:space="preserve">Όχι με τον </w:t>
            </w:r>
            <w:r>
              <w:rPr>
                <w:lang w:eastAsia="el-GR"/>
              </w:rPr>
              <w:lastRenderedPageBreak/>
              <w:t>πατέρα</w:t>
            </w:r>
          </w:p>
        </w:tc>
        <w:tc>
          <w:tcPr>
            <w:tcW w:w="87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lastRenderedPageBreak/>
              <w:t>5</w:t>
            </w:r>
          </w:p>
        </w:tc>
        <w:tc>
          <w:tcPr>
            <w:tcW w:w="87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2.3</w:t>
            </w:r>
          </w:p>
        </w:tc>
        <w:tc>
          <w:tcPr>
            <w:tcW w:w="87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0.8</w:t>
            </w:r>
          </w:p>
        </w:tc>
        <w:tc>
          <w:tcPr>
            <w:tcW w:w="871"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871"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866"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r>
      <w:tr w:rsidR="001B3514">
        <w:trPr>
          <w:trHeight w:val="211"/>
          <w:jc w:val="center"/>
        </w:trPr>
        <w:tc>
          <w:tcPr>
            <w:tcW w:w="2636"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lastRenderedPageBreak/>
              <w:t>Νευρωτισμός (EPQ)</w:t>
            </w:r>
          </w:p>
        </w:tc>
        <w:tc>
          <w:tcPr>
            <w:tcW w:w="143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Ναι</w:t>
            </w:r>
          </w:p>
        </w:tc>
        <w:tc>
          <w:tcPr>
            <w:tcW w:w="87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91</w:t>
            </w:r>
          </w:p>
        </w:tc>
        <w:tc>
          <w:tcPr>
            <w:tcW w:w="87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1.5</w:t>
            </w:r>
          </w:p>
        </w:tc>
        <w:tc>
          <w:tcPr>
            <w:tcW w:w="87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0.2</w:t>
            </w:r>
          </w:p>
        </w:tc>
        <w:tc>
          <w:tcPr>
            <w:tcW w:w="871"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2.846</w:t>
            </w:r>
          </w:p>
        </w:tc>
        <w:tc>
          <w:tcPr>
            <w:tcW w:w="871"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94</w:t>
            </w:r>
          </w:p>
        </w:tc>
        <w:tc>
          <w:tcPr>
            <w:tcW w:w="866"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0.005</w:t>
            </w:r>
          </w:p>
        </w:tc>
      </w:tr>
      <w:tr w:rsidR="001B3514">
        <w:trPr>
          <w:trHeight w:val="211"/>
          <w:jc w:val="center"/>
        </w:trPr>
        <w:tc>
          <w:tcPr>
            <w:tcW w:w="2636"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43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Όχι με τον πατέρα</w:t>
            </w:r>
          </w:p>
        </w:tc>
        <w:tc>
          <w:tcPr>
            <w:tcW w:w="87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5</w:t>
            </w:r>
          </w:p>
        </w:tc>
        <w:tc>
          <w:tcPr>
            <w:tcW w:w="87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1.2</w:t>
            </w:r>
          </w:p>
        </w:tc>
        <w:tc>
          <w:tcPr>
            <w:tcW w:w="87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0.2</w:t>
            </w:r>
          </w:p>
        </w:tc>
        <w:tc>
          <w:tcPr>
            <w:tcW w:w="871"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871"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866"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r>
    </w:tbl>
    <w:p w:rsidR="001B3514" w:rsidRDefault="00782E3E">
      <w:pPr>
        <w:rPr>
          <w:lang w:eastAsia="zh-CN" w:bidi="hi-IN"/>
        </w:rPr>
      </w:pPr>
      <w:r>
        <w:rPr>
          <w:lang w:eastAsia="zh-CN" w:bidi="hi-IN"/>
        </w:rPr>
        <w:t>Αναφορικά με τον παραπάνω πίνακα υπάρχει στατιστικώς σημαντική διαφορά ανάμεσα στην ύπαρξη καλών σχέσεων με τους γονείς και τις μεταβλητές «Οι απόψεις σας για τα φάρμακα γενικά (BMQ12 General)» (Sig=0.042&lt;0.05), «Οι απόψεις σας για τα φάρμακα που σας έγραψαν οι γιατροί σας (BMQ10)» (Sig=0.040&lt;0.05), «Γενικός δείκτης συμπτωμάτων (SCL90)» (Sig&lt;0.05), «Σύνολο των θετικών συμπτωμάτων (SCL90)» (Sig=0.007&lt;0.05), «Δείκτης ενόχλησης των θετικών συμπτωμάτων (SCL90)» (Sig=0.004&lt;0.05) και «Νευρωτισμός (EPQ)» (Sig=0.005&lt;0.05). Τη μεγαλύτερη μέση τιμή συγκεντρώνουν όσοι δεν έχουν καλές σχέσεις με τους γονείς τους και συγκεκριμένα με τον πατέρα σε κάθε μεταβλητή, εκτός του νευρωτισμού όπου τη μεγαλύτερη μέση τιμή συγκεντρώνουν όσοι διατηρούν καλές σχέσεις (1.5±0.2).</w:t>
      </w:r>
    </w:p>
    <w:p w:rsidR="001B3514" w:rsidRDefault="001B3514">
      <w:pPr>
        <w:rPr>
          <w:lang w:eastAsia="zh-CN" w:bidi="hi-IN"/>
        </w:rPr>
      </w:pPr>
    </w:p>
    <w:p w:rsidR="001B3514" w:rsidRDefault="00782E3E">
      <w:pPr>
        <w:pStyle w:val="aa"/>
        <w:rPr>
          <w:lang w:eastAsia="zh-CN" w:bidi="hi-IN"/>
        </w:rPr>
      </w:pPr>
      <w:bookmarkStart w:id="65" w:name="_Toc64641831"/>
      <w:r>
        <w:t xml:space="preserve">Πίνακας </w:t>
      </w:r>
      <w:r w:rsidR="00B061D7">
        <w:fldChar w:fldCharType="begin"/>
      </w:r>
      <w:r>
        <w:instrText>SEQ Πίνακας \* ARABIC</w:instrText>
      </w:r>
      <w:r w:rsidR="00B061D7">
        <w:fldChar w:fldCharType="separate"/>
      </w:r>
      <w:r w:rsidR="001D06AA">
        <w:rPr>
          <w:noProof/>
        </w:rPr>
        <w:t>24</w:t>
      </w:r>
      <w:r w:rsidR="00B061D7">
        <w:fldChar w:fldCharType="end"/>
      </w:r>
      <w:r>
        <w:t xml:space="preserve"> Αποτελέσματα συσχέτισης του περπατήματος με τις επιμέρους κλίμακες</w:t>
      </w:r>
      <w:bookmarkEnd w:id="65"/>
      <w:r>
        <w:t xml:space="preserve"> </w:t>
      </w:r>
    </w:p>
    <w:tbl>
      <w:tblPr>
        <w:tblW w:w="9020" w:type="dxa"/>
        <w:jc w:val="center"/>
        <w:tblBorders>
          <w:top w:val="single" w:sz="4" w:space="0" w:color="000001"/>
          <w:bottom w:val="single" w:sz="4" w:space="0" w:color="000001"/>
          <w:insideH w:val="single" w:sz="4" w:space="0" w:color="000001"/>
        </w:tblBorders>
        <w:tblLook w:val="04A0"/>
      </w:tblPr>
      <w:tblGrid>
        <w:gridCol w:w="2641"/>
        <w:gridCol w:w="620"/>
        <w:gridCol w:w="960"/>
        <w:gridCol w:w="960"/>
        <w:gridCol w:w="959"/>
        <w:gridCol w:w="960"/>
        <w:gridCol w:w="960"/>
        <w:gridCol w:w="960"/>
      </w:tblGrid>
      <w:tr w:rsidR="001B3514">
        <w:trPr>
          <w:trHeight w:val="300"/>
          <w:jc w:val="center"/>
        </w:trPr>
        <w:tc>
          <w:tcPr>
            <w:tcW w:w="264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Περπατάτε;</w:t>
            </w:r>
          </w:p>
        </w:tc>
        <w:tc>
          <w:tcPr>
            <w:tcW w:w="62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N</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Mean</w:t>
            </w:r>
          </w:p>
        </w:tc>
        <w:tc>
          <w:tcPr>
            <w:tcW w:w="95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SD</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t</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df</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Sig.</w:t>
            </w:r>
          </w:p>
        </w:tc>
      </w:tr>
      <w:tr w:rsidR="001B3514">
        <w:trPr>
          <w:trHeight w:val="300"/>
          <w:jc w:val="center"/>
        </w:trPr>
        <w:tc>
          <w:tcPr>
            <w:tcW w:w="264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Γενικός δείκτης συμπτωμάτων (SCL90)</w:t>
            </w:r>
          </w:p>
        </w:tc>
        <w:tc>
          <w:tcPr>
            <w:tcW w:w="62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Ναι</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60</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0.7</w:t>
            </w:r>
          </w:p>
        </w:tc>
        <w:tc>
          <w:tcPr>
            <w:tcW w:w="95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0.5</w:t>
            </w:r>
          </w:p>
        </w:tc>
        <w:tc>
          <w:tcPr>
            <w:tcW w:w="96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-2.295</w:t>
            </w:r>
          </w:p>
        </w:tc>
        <w:tc>
          <w:tcPr>
            <w:tcW w:w="96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98</w:t>
            </w:r>
          </w:p>
        </w:tc>
        <w:tc>
          <w:tcPr>
            <w:tcW w:w="96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0.024</w:t>
            </w:r>
          </w:p>
        </w:tc>
      </w:tr>
      <w:tr w:rsidR="001B3514">
        <w:trPr>
          <w:trHeight w:val="300"/>
          <w:jc w:val="center"/>
        </w:trPr>
        <w:tc>
          <w:tcPr>
            <w:tcW w:w="264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62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Όχι</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40</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1.0</w:t>
            </w:r>
          </w:p>
        </w:tc>
        <w:tc>
          <w:tcPr>
            <w:tcW w:w="95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0.7</w:t>
            </w:r>
          </w:p>
        </w:tc>
        <w:tc>
          <w:tcPr>
            <w:tcW w:w="96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96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96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r>
      <w:tr w:rsidR="001B3514">
        <w:trPr>
          <w:trHeight w:val="300"/>
          <w:jc w:val="center"/>
        </w:trPr>
        <w:tc>
          <w:tcPr>
            <w:tcW w:w="264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Δείκτης ενόχλησης των θετικών συμπτωμάτων (SCL90)</w:t>
            </w:r>
          </w:p>
        </w:tc>
        <w:tc>
          <w:tcPr>
            <w:tcW w:w="62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Ναι</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60</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1.6</w:t>
            </w:r>
          </w:p>
        </w:tc>
        <w:tc>
          <w:tcPr>
            <w:tcW w:w="95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0.5</w:t>
            </w:r>
          </w:p>
        </w:tc>
        <w:tc>
          <w:tcPr>
            <w:tcW w:w="96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-2.319</w:t>
            </w:r>
          </w:p>
        </w:tc>
        <w:tc>
          <w:tcPr>
            <w:tcW w:w="96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98</w:t>
            </w:r>
          </w:p>
        </w:tc>
        <w:tc>
          <w:tcPr>
            <w:tcW w:w="96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0.022</w:t>
            </w:r>
          </w:p>
        </w:tc>
      </w:tr>
      <w:tr w:rsidR="001B3514">
        <w:trPr>
          <w:trHeight w:val="300"/>
          <w:jc w:val="center"/>
        </w:trPr>
        <w:tc>
          <w:tcPr>
            <w:tcW w:w="264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62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Όχι</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40</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1.8</w:t>
            </w:r>
          </w:p>
        </w:tc>
        <w:tc>
          <w:tcPr>
            <w:tcW w:w="95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0.5</w:t>
            </w:r>
          </w:p>
        </w:tc>
        <w:tc>
          <w:tcPr>
            <w:tcW w:w="96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96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96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r>
      <w:tr w:rsidR="001B3514">
        <w:trPr>
          <w:trHeight w:val="300"/>
          <w:jc w:val="center"/>
        </w:trPr>
        <w:tc>
          <w:tcPr>
            <w:tcW w:w="264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Εξωστρέφεια (EPQ)</w:t>
            </w:r>
          </w:p>
        </w:tc>
        <w:tc>
          <w:tcPr>
            <w:tcW w:w="62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Ναι</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60</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1.3</w:t>
            </w:r>
          </w:p>
        </w:tc>
        <w:tc>
          <w:tcPr>
            <w:tcW w:w="95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0.2</w:t>
            </w:r>
          </w:p>
        </w:tc>
        <w:tc>
          <w:tcPr>
            <w:tcW w:w="96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-2.009</w:t>
            </w:r>
          </w:p>
        </w:tc>
        <w:tc>
          <w:tcPr>
            <w:tcW w:w="96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98</w:t>
            </w:r>
          </w:p>
        </w:tc>
        <w:tc>
          <w:tcPr>
            <w:tcW w:w="96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0.047</w:t>
            </w:r>
          </w:p>
        </w:tc>
      </w:tr>
      <w:tr w:rsidR="001B3514">
        <w:trPr>
          <w:trHeight w:val="300"/>
          <w:jc w:val="center"/>
        </w:trPr>
        <w:tc>
          <w:tcPr>
            <w:tcW w:w="264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62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Όχι</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40</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1.4</w:t>
            </w:r>
          </w:p>
        </w:tc>
        <w:tc>
          <w:tcPr>
            <w:tcW w:w="95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0.2</w:t>
            </w:r>
          </w:p>
        </w:tc>
        <w:tc>
          <w:tcPr>
            <w:tcW w:w="96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96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96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r>
      <w:tr w:rsidR="001B3514">
        <w:trPr>
          <w:trHeight w:val="300"/>
          <w:jc w:val="center"/>
        </w:trPr>
        <w:tc>
          <w:tcPr>
            <w:tcW w:w="264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Ψυχωτισμός (EPQ)</w:t>
            </w:r>
          </w:p>
        </w:tc>
        <w:tc>
          <w:tcPr>
            <w:tcW w:w="62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Ναι</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60</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1.1</w:t>
            </w:r>
          </w:p>
        </w:tc>
        <w:tc>
          <w:tcPr>
            <w:tcW w:w="95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0.1</w:t>
            </w:r>
          </w:p>
        </w:tc>
        <w:tc>
          <w:tcPr>
            <w:tcW w:w="96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-3.709</w:t>
            </w:r>
          </w:p>
        </w:tc>
        <w:tc>
          <w:tcPr>
            <w:tcW w:w="96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98</w:t>
            </w:r>
          </w:p>
        </w:tc>
        <w:tc>
          <w:tcPr>
            <w:tcW w:w="96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0.000</w:t>
            </w:r>
          </w:p>
        </w:tc>
      </w:tr>
      <w:tr w:rsidR="001B3514">
        <w:trPr>
          <w:trHeight w:val="300"/>
          <w:jc w:val="center"/>
        </w:trPr>
        <w:tc>
          <w:tcPr>
            <w:tcW w:w="264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62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Όχι</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40</w:t>
            </w:r>
          </w:p>
        </w:tc>
        <w:tc>
          <w:tcPr>
            <w:tcW w:w="96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1.2</w:t>
            </w:r>
          </w:p>
        </w:tc>
        <w:tc>
          <w:tcPr>
            <w:tcW w:w="95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0.1</w:t>
            </w:r>
          </w:p>
        </w:tc>
        <w:tc>
          <w:tcPr>
            <w:tcW w:w="96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96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96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r>
    </w:tbl>
    <w:p w:rsidR="001B3514" w:rsidRDefault="00782E3E">
      <w:pPr>
        <w:rPr>
          <w:lang w:eastAsia="zh-CN" w:bidi="hi-IN"/>
        </w:rPr>
      </w:pPr>
      <w:r>
        <w:rPr>
          <w:lang w:eastAsia="zh-CN" w:bidi="hi-IN"/>
        </w:rPr>
        <w:t>Αναφορικά με τον παραπάνω πίνακα υπάρχει στατιστικώς σημαντική διαφορά ανάμεσα στο περπάτημα και τις μεταβλητές «Γενικός δείκτης συμπτωμάτων (SCL90)» (Sig=0.024&lt;0.05), «Δείκτης ενόχλησης των θετικών συμπτωμάτων (SCL90)» (Sig=0.022&lt;0.05), «Εξωστρέφεια (EPQ)» (Sig=0.047&lt;0.05) και «Ψυχωτισμός (EPQ)» (Sig&lt;0.05). Τη μεγαλύτερη μέση τιμή συγκέντρωσαν σε κάθε περίπτωση όσοι δεν περπατούν.</w:t>
      </w:r>
    </w:p>
    <w:p w:rsidR="001B3514" w:rsidRDefault="001B3514">
      <w:pPr>
        <w:spacing w:line="259" w:lineRule="auto"/>
        <w:jc w:val="left"/>
        <w:rPr>
          <w:lang w:eastAsia="zh-CN" w:bidi="hi-IN"/>
        </w:rPr>
      </w:pPr>
    </w:p>
    <w:p w:rsidR="001B3514" w:rsidRDefault="00782E3E">
      <w:pPr>
        <w:pStyle w:val="aa"/>
        <w:rPr>
          <w:lang w:eastAsia="zh-CN" w:bidi="hi-IN"/>
        </w:rPr>
      </w:pPr>
      <w:bookmarkStart w:id="66" w:name="_Toc64641832"/>
      <w:r>
        <w:t xml:space="preserve">Πίνακας </w:t>
      </w:r>
      <w:r w:rsidR="00B061D7">
        <w:fldChar w:fldCharType="begin"/>
      </w:r>
      <w:r>
        <w:instrText>SEQ Πίνακας \* ARABIC</w:instrText>
      </w:r>
      <w:r w:rsidR="00B061D7">
        <w:fldChar w:fldCharType="separate"/>
      </w:r>
      <w:r w:rsidR="001D06AA">
        <w:rPr>
          <w:noProof/>
        </w:rPr>
        <w:t>25</w:t>
      </w:r>
      <w:r w:rsidR="00B061D7">
        <w:fldChar w:fldCharType="end"/>
      </w:r>
      <w:r>
        <w:t xml:space="preserve"> Αποτελέσματα συσχέτισης του περπατήματος με τις επιμέρους κλίμακες της έρευνας</w:t>
      </w:r>
      <w:bookmarkEnd w:id="66"/>
    </w:p>
    <w:tbl>
      <w:tblPr>
        <w:tblW w:w="8427" w:type="dxa"/>
        <w:jc w:val="center"/>
        <w:tblBorders>
          <w:top w:val="single" w:sz="4" w:space="0" w:color="000001"/>
          <w:bottom w:val="single" w:sz="4" w:space="0" w:color="000001"/>
          <w:insideH w:val="single" w:sz="4" w:space="0" w:color="000001"/>
        </w:tblBorders>
        <w:tblLook w:val="04A0"/>
      </w:tblPr>
      <w:tblGrid>
        <w:gridCol w:w="2410"/>
        <w:gridCol w:w="797"/>
        <w:gridCol w:w="870"/>
        <w:gridCol w:w="869"/>
        <w:gridCol w:w="871"/>
        <w:gridCol w:w="870"/>
        <w:gridCol w:w="869"/>
        <w:gridCol w:w="871"/>
      </w:tblGrid>
      <w:tr w:rsidR="001B3514">
        <w:trPr>
          <w:trHeight w:val="243"/>
          <w:jc w:val="center"/>
        </w:trPr>
        <w:tc>
          <w:tcPr>
            <w:tcW w:w="240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lastRenderedPageBreak/>
              <w:t>Σήμερα έχετε φίλους;</w:t>
            </w:r>
          </w:p>
        </w:tc>
        <w:tc>
          <w:tcPr>
            <w:tcW w:w="79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w:t>
            </w:r>
          </w:p>
        </w:tc>
        <w:tc>
          <w:tcPr>
            <w:tcW w:w="87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N</w:t>
            </w:r>
          </w:p>
        </w:tc>
        <w:tc>
          <w:tcPr>
            <w:tcW w:w="86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Mean</w:t>
            </w:r>
          </w:p>
        </w:tc>
        <w:tc>
          <w:tcPr>
            <w:tcW w:w="87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SD</w:t>
            </w:r>
          </w:p>
        </w:tc>
        <w:tc>
          <w:tcPr>
            <w:tcW w:w="87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t</w:t>
            </w:r>
          </w:p>
        </w:tc>
        <w:tc>
          <w:tcPr>
            <w:tcW w:w="86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df</w:t>
            </w:r>
          </w:p>
        </w:tc>
        <w:tc>
          <w:tcPr>
            <w:tcW w:w="87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xml:space="preserve">Sig. </w:t>
            </w:r>
          </w:p>
        </w:tc>
      </w:tr>
      <w:tr w:rsidR="001B3514">
        <w:trPr>
          <w:trHeight w:val="243"/>
          <w:jc w:val="center"/>
        </w:trPr>
        <w:tc>
          <w:tcPr>
            <w:tcW w:w="2409"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Οι απόψεις σας για τα φάρμακα γενικά (BMQ12 General)</w:t>
            </w:r>
          </w:p>
        </w:tc>
        <w:tc>
          <w:tcPr>
            <w:tcW w:w="79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Ναι</w:t>
            </w:r>
          </w:p>
        </w:tc>
        <w:tc>
          <w:tcPr>
            <w:tcW w:w="87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88</w:t>
            </w:r>
          </w:p>
        </w:tc>
        <w:tc>
          <w:tcPr>
            <w:tcW w:w="86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3.1</w:t>
            </w:r>
          </w:p>
        </w:tc>
        <w:tc>
          <w:tcPr>
            <w:tcW w:w="87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0.5</w:t>
            </w:r>
          </w:p>
        </w:tc>
        <w:tc>
          <w:tcPr>
            <w:tcW w:w="87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-2.274</w:t>
            </w:r>
          </w:p>
        </w:tc>
        <w:tc>
          <w:tcPr>
            <w:tcW w:w="869"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98</w:t>
            </w:r>
          </w:p>
        </w:tc>
        <w:tc>
          <w:tcPr>
            <w:tcW w:w="871"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0.025</w:t>
            </w:r>
          </w:p>
        </w:tc>
      </w:tr>
      <w:tr w:rsidR="001B3514">
        <w:trPr>
          <w:trHeight w:val="243"/>
          <w:jc w:val="center"/>
        </w:trPr>
        <w:tc>
          <w:tcPr>
            <w:tcW w:w="2409"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79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Όχι</w:t>
            </w:r>
          </w:p>
        </w:tc>
        <w:tc>
          <w:tcPr>
            <w:tcW w:w="87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12</w:t>
            </w:r>
          </w:p>
        </w:tc>
        <w:tc>
          <w:tcPr>
            <w:tcW w:w="86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3.5</w:t>
            </w:r>
          </w:p>
        </w:tc>
        <w:tc>
          <w:tcPr>
            <w:tcW w:w="87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0.4</w:t>
            </w:r>
          </w:p>
        </w:tc>
        <w:tc>
          <w:tcPr>
            <w:tcW w:w="87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869"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871"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r>
      <w:tr w:rsidR="001B3514">
        <w:trPr>
          <w:trHeight w:val="243"/>
          <w:jc w:val="center"/>
        </w:trPr>
        <w:tc>
          <w:tcPr>
            <w:tcW w:w="2409"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Morisky scale (MMAS8)</w:t>
            </w:r>
          </w:p>
        </w:tc>
        <w:tc>
          <w:tcPr>
            <w:tcW w:w="79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Ναι</w:t>
            </w:r>
          </w:p>
        </w:tc>
        <w:tc>
          <w:tcPr>
            <w:tcW w:w="87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88</w:t>
            </w:r>
          </w:p>
        </w:tc>
        <w:tc>
          <w:tcPr>
            <w:tcW w:w="86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6.1</w:t>
            </w:r>
          </w:p>
        </w:tc>
        <w:tc>
          <w:tcPr>
            <w:tcW w:w="87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1.7</w:t>
            </w:r>
          </w:p>
        </w:tc>
        <w:tc>
          <w:tcPr>
            <w:tcW w:w="87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4.069</w:t>
            </w:r>
          </w:p>
        </w:tc>
        <w:tc>
          <w:tcPr>
            <w:tcW w:w="869"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98</w:t>
            </w:r>
          </w:p>
        </w:tc>
        <w:tc>
          <w:tcPr>
            <w:tcW w:w="871"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0.000</w:t>
            </w:r>
          </w:p>
        </w:tc>
      </w:tr>
      <w:tr w:rsidR="001B3514">
        <w:trPr>
          <w:trHeight w:val="243"/>
          <w:jc w:val="center"/>
        </w:trPr>
        <w:tc>
          <w:tcPr>
            <w:tcW w:w="2409"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79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Όχι</w:t>
            </w:r>
          </w:p>
        </w:tc>
        <w:tc>
          <w:tcPr>
            <w:tcW w:w="87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12</w:t>
            </w:r>
          </w:p>
        </w:tc>
        <w:tc>
          <w:tcPr>
            <w:tcW w:w="86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3.8</w:t>
            </w:r>
          </w:p>
        </w:tc>
        <w:tc>
          <w:tcPr>
            <w:tcW w:w="87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2.5</w:t>
            </w:r>
          </w:p>
        </w:tc>
        <w:tc>
          <w:tcPr>
            <w:tcW w:w="87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869"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871"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r>
      <w:tr w:rsidR="001B3514">
        <w:trPr>
          <w:trHeight w:val="243"/>
          <w:jc w:val="center"/>
        </w:trPr>
        <w:tc>
          <w:tcPr>
            <w:tcW w:w="2409"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Γενικός δείκτης συμπτωμάτων (SCL90)</w:t>
            </w:r>
          </w:p>
        </w:tc>
        <w:tc>
          <w:tcPr>
            <w:tcW w:w="79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Ναι</w:t>
            </w:r>
          </w:p>
        </w:tc>
        <w:tc>
          <w:tcPr>
            <w:tcW w:w="87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88</w:t>
            </w:r>
          </w:p>
        </w:tc>
        <w:tc>
          <w:tcPr>
            <w:tcW w:w="86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0.7</w:t>
            </w:r>
          </w:p>
        </w:tc>
        <w:tc>
          <w:tcPr>
            <w:tcW w:w="87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0.5</w:t>
            </w:r>
          </w:p>
        </w:tc>
        <w:tc>
          <w:tcPr>
            <w:tcW w:w="87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-3.770</w:t>
            </w:r>
          </w:p>
        </w:tc>
        <w:tc>
          <w:tcPr>
            <w:tcW w:w="869"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98</w:t>
            </w:r>
          </w:p>
        </w:tc>
        <w:tc>
          <w:tcPr>
            <w:tcW w:w="871"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0.000</w:t>
            </w:r>
          </w:p>
        </w:tc>
      </w:tr>
      <w:tr w:rsidR="001B3514">
        <w:trPr>
          <w:trHeight w:val="243"/>
          <w:jc w:val="center"/>
        </w:trPr>
        <w:tc>
          <w:tcPr>
            <w:tcW w:w="2409"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79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Όχι</w:t>
            </w:r>
          </w:p>
        </w:tc>
        <w:tc>
          <w:tcPr>
            <w:tcW w:w="87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12</w:t>
            </w:r>
          </w:p>
        </w:tc>
        <w:tc>
          <w:tcPr>
            <w:tcW w:w="86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1.4</w:t>
            </w:r>
          </w:p>
        </w:tc>
        <w:tc>
          <w:tcPr>
            <w:tcW w:w="87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0.9</w:t>
            </w:r>
          </w:p>
        </w:tc>
        <w:tc>
          <w:tcPr>
            <w:tcW w:w="87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869"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871"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r>
      <w:tr w:rsidR="001B3514">
        <w:trPr>
          <w:trHeight w:val="243"/>
          <w:jc w:val="center"/>
        </w:trPr>
        <w:tc>
          <w:tcPr>
            <w:tcW w:w="2409"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Σύνολο των θετικών συμπτωμάτων (SCL90)</w:t>
            </w:r>
          </w:p>
        </w:tc>
        <w:tc>
          <w:tcPr>
            <w:tcW w:w="79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Ναι</w:t>
            </w:r>
          </w:p>
        </w:tc>
        <w:tc>
          <w:tcPr>
            <w:tcW w:w="87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88</w:t>
            </w:r>
          </w:p>
        </w:tc>
        <w:tc>
          <w:tcPr>
            <w:tcW w:w="86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38.6</w:t>
            </w:r>
          </w:p>
        </w:tc>
        <w:tc>
          <w:tcPr>
            <w:tcW w:w="87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19.4</w:t>
            </w:r>
          </w:p>
        </w:tc>
        <w:tc>
          <w:tcPr>
            <w:tcW w:w="87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-2.695</w:t>
            </w:r>
          </w:p>
        </w:tc>
        <w:tc>
          <w:tcPr>
            <w:tcW w:w="869"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98</w:t>
            </w:r>
          </w:p>
        </w:tc>
        <w:tc>
          <w:tcPr>
            <w:tcW w:w="871"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0.008</w:t>
            </w:r>
          </w:p>
        </w:tc>
      </w:tr>
      <w:tr w:rsidR="001B3514">
        <w:trPr>
          <w:trHeight w:val="243"/>
          <w:jc w:val="center"/>
        </w:trPr>
        <w:tc>
          <w:tcPr>
            <w:tcW w:w="2409"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79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Όχι</w:t>
            </w:r>
          </w:p>
        </w:tc>
        <w:tc>
          <w:tcPr>
            <w:tcW w:w="87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12</w:t>
            </w:r>
          </w:p>
        </w:tc>
        <w:tc>
          <w:tcPr>
            <w:tcW w:w="86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55.3</w:t>
            </w:r>
          </w:p>
        </w:tc>
        <w:tc>
          <w:tcPr>
            <w:tcW w:w="87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25.7</w:t>
            </w:r>
          </w:p>
        </w:tc>
        <w:tc>
          <w:tcPr>
            <w:tcW w:w="87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869"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871"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r>
      <w:tr w:rsidR="001B3514">
        <w:trPr>
          <w:trHeight w:val="243"/>
          <w:jc w:val="center"/>
        </w:trPr>
        <w:tc>
          <w:tcPr>
            <w:tcW w:w="2409"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Δείκτης ενόχλησης των θετικών συμπτωμάτων (SCL90)</w:t>
            </w:r>
          </w:p>
        </w:tc>
        <w:tc>
          <w:tcPr>
            <w:tcW w:w="79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Ναι</w:t>
            </w:r>
          </w:p>
        </w:tc>
        <w:tc>
          <w:tcPr>
            <w:tcW w:w="87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88</w:t>
            </w:r>
          </w:p>
        </w:tc>
        <w:tc>
          <w:tcPr>
            <w:tcW w:w="86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1.7</w:t>
            </w:r>
          </w:p>
        </w:tc>
        <w:tc>
          <w:tcPr>
            <w:tcW w:w="87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0.5</w:t>
            </w:r>
          </w:p>
        </w:tc>
        <w:tc>
          <w:tcPr>
            <w:tcW w:w="87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-2.783</w:t>
            </w:r>
          </w:p>
        </w:tc>
        <w:tc>
          <w:tcPr>
            <w:tcW w:w="869"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98</w:t>
            </w:r>
          </w:p>
        </w:tc>
        <w:tc>
          <w:tcPr>
            <w:tcW w:w="871"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0.006</w:t>
            </w:r>
          </w:p>
        </w:tc>
      </w:tr>
      <w:tr w:rsidR="001B3514">
        <w:trPr>
          <w:trHeight w:val="243"/>
          <w:jc w:val="center"/>
        </w:trPr>
        <w:tc>
          <w:tcPr>
            <w:tcW w:w="2409"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79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Όχι</w:t>
            </w:r>
          </w:p>
        </w:tc>
        <w:tc>
          <w:tcPr>
            <w:tcW w:w="87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12</w:t>
            </w:r>
          </w:p>
        </w:tc>
        <w:tc>
          <w:tcPr>
            <w:tcW w:w="86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2.1</w:t>
            </w:r>
          </w:p>
        </w:tc>
        <w:tc>
          <w:tcPr>
            <w:tcW w:w="87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0.6</w:t>
            </w:r>
          </w:p>
        </w:tc>
        <w:tc>
          <w:tcPr>
            <w:tcW w:w="87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869"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871"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r>
      <w:tr w:rsidR="001B3514">
        <w:trPr>
          <w:trHeight w:val="243"/>
          <w:jc w:val="center"/>
        </w:trPr>
        <w:tc>
          <w:tcPr>
            <w:tcW w:w="2409"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Εξωστρέφεια (EPQ)</w:t>
            </w:r>
          </w:p>
        </w:tc>
        <w:tc>
          <w:tcPr>
            <w:tcW w:w="79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Ναι</w:t>
            </w:r>
          </w:p>
        </w:tc>
        <w:tc>
          <w:tcPr>
            <w:tcW w:w="87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88</w:t>
            </w:r>
          </w:p>
        </w:tc>
        <w:tc>
          <w:tcPr>
            <w:tcW w:w="86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1.3</w:t>
            </w:r>
          </w:p>
        </w:tc>
        <w:tc>
          <w:tcPr>
            <w:tcW w:w="87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0.2</w:t>
            </w:r>
          </w:p>
        </w:tc>
        <w:tc>
          <w:tcPr>
            <w:tcW w:w="87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-3.290</w:t>
            </w:r>
          </w:p>
        </w:tc>
        <w:tc>
          <w:tcPr>
            <w:tcW w:w="869"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98</w:t>
            </w:r>
          </w:p>
        </w:tc>
        <w:tc>
          <w:tcPr>
            <w:tcW w:w="871"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0.001</w:t>
            </w:r>
          </w:p>
        </w:tc>
      </w:tr>
      <w:tr w:rsidR="001B3514">
        <w:trPr>
          <w:trHeight w:val="243"/>
          <w:jc w:val="center"/>
        </w:trPr>
        <w:tc>
          <w:tcPr>
            <w:tcW w:w="2409"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79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Όχι</w:t>
            </w:r>
          </w:p>
        </w:tc>
        <w:tc>
          <w:tcPr>
            <w:tcW w:w="87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12</w:t>
            </w:r>
          </w:p>
        </w:tc>
        <w:tc>
          <w:tcPr>
            <w:tcW w:w="86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1.5</w:t>
            </w:r>
          </w:p>
        </w:tc>
        <w:tc>
          <w:tcPr>
            <w:tcW w:w="87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0.2</w:t>
            </w:r>
          </w:p>
        </w:tc>
        <w:tc>
          <w:tcPr>
            <w:tcW w:w="87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869"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871"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r>
    </w:tbl>
    <w:p w:rsidR="001B3514" w:rsidRDefault="00782E3E">
      <w:pPr>
        <w:rPr>
          <w:lang w:eastAsia="zh-CN" w:bidi="hi-IN"/>
        </w:rPr>
      </w:pPr>
      <w:r>
        <w:rPr>
          <w:lang w:eastAsia="zh-CN" w:bidi="hi-IN"/>
        </w:rPr>
        <w:t>Σύμφωνα με τον παραπάνω πίνακα υπάρχει στατιστικώς σημαντική διαφορά ανάμεσα στην ύπαρξη φίλων και τις μεταβλητές «Οι απόψεις σας για τα φάρμακα γενικά (BMQ12 General)» (Sig=0.025&lt;0.05), «Morisky scale (MMAS8)» (Sig&lt;0.05), «Γενικός δείκτης συμπτωμάτων (SCL90)» (Sig&lt;0.05), «Σύνολο των θετικών συμπτωμάτων (SCL90)» (Sig=0.008&lt;0.05), «Δείκτης ενόχλησης των θετικών συμπτωμάτων (SCL90)» (Sig=0.006&lt;0.05) και «Εξωστρέφεια (EPQ)» (Sig=0.001&lt;0.05). Σε κάθε μία από τις παραπάνω μεταβλητές τη μεγαλύτερη μέση τιμή συγκεντρώνει ο πληθυσμός εκείνων που σήμερα δεν έχουν φίλους.</w:t>
      </w:r>
    </w:p>
    <w:p w:rsidR="001B3514" w:rsidRDefault="001B3514">
      <w:pPr>
        <w:rPr>
          <w:lang w:eastAsia="zh-CN" w:bidi="hi-IN"/>
        </w:rPr>
      </w:pPr>
    </w:p>
    <w:p w:rsidR="001B3514" w:rsidRDefault="00782E3E">
      <w:pPr>
        <w:pStyle w:val="aa"/>
        <w:rPr>
          <w:lang w:eastAsia="zh-CN" w:bidi="hi-IN"/>
        </w:rPr>
      </w:pPr>
      <w:bookmarkStart w:id="67" w:name="_Toc64641833"/>
      <w:r>
        <w:t xml:space="preserve">Πίνακας </w:t>
      </w:r>
      <w:r w:rsidR="00B061D7">
        <w:fldChar w:fldCharType="begin"/>
      </w:r>
      <w:r>
        <w:instrText>SEQ Πίνακας \* ARABIC</w:instrText>
      </w:r>
      <w:r w:rsidR="00B061D7">
        <w:fldChar w:fldCharType="separate"/>
      </w:r>
      <w:r w:rsidR="001D06AA">
        <w:rPr>
          <w:noProof/>
        </w:rPr>
        <w:t>26</w:t>
      </w:r>
      <w:r w:rsidR="00B061D7">
        <w:fldChar w:fldCharType="end"/>
      </w:r>
      <w:r>
        <w:t xml:space="preserve"> Αποτελέσματα συσχέτισης της οικογενειακής κατάστασης του δείγματος με τις επιμέρους κλίμακες της έρευνας</w:t>
      </w:r>
      <w:bookmarkEnd w:id="67"/>
    </w:p>
    <w:tbl>
      <w:tblPr>
        <w:tblW w:w="8654" w:type="dxa"/>
        <w:jc w:val="center"/>
        <w:tblBorders>
          <w:top w:val="single" w:sz="4" w:space="0" w:color="00000A"/>
          <w:bottom w:val="single" w:sz="4" w:space="0" w:color="000001"/>
          <w:insideH w:val="single" w:sz="4" w:space="0" w:color="000001"/>
        </w:tblBorders>
        <w:tblLook w:val="04A0"/>
      </w:tblPr>
      <w:tblGrid>
        <w:gridCol w:w="2469"/>
        <w:gridCol w:w="1731"/>
        <w:gridCol w:w="885"/>
        <w:gridCol w:w="897"/>
        <w:gridCol w:w="884"/>
        <w:gridCol w:w="897"/>
        <w:gridCol w:w="891"/>
      </w:tblGrid>
      <w:tr w:rsidR="001B3514">
        <w:trPr>
          <w:trHeight w:val="261"/>
          <w:jc w:val="center"/>
        </w:trPr>
        <w:tc>
          <w:tcPr>
            <w:tcW w:w="2524" w:type="dxa"/>
            <w:tcBorders>
              <w:top w:val="single" w:sz="4" w:space="0" w:color="00000A"/>
              <w:bottom w:val="single" w:sz="4" w:space="0" w:color="000001"/>
            </w:tcBorders>
            <w:shd w:val="clear" w:color="auto" w:fill="auto"/>
            <w:vAlign w:val="center"/>
          </w:tcPr>
          <w:p w:rsidR="001B3514" w:rsidRDefault="00782E3E">
            <w:pPr>
              <w:pStyle w:val="ad"/>
              <w:rPr>
                <w:lang w:eastAsia="el-GR"/>
              </w:rPr>
            </w:pPr>
            <w:r>
              <w:rPr>
                <w:lang w:eastAsia="el-GR"/>
              </w:rPr>
              <w:t> </w:t>
            </w:r>
          </w:p>
        </w:tc>
        <w:tc>
          <w:tcPr>
            <w:tcW w:w="1605" w:type="dxa"/>
            <w:tcBorders>
              <w:top w:val="single" w:sz="4" w:space="0" w:color="00000A"/>
              <w:bottom w:val="single" w:sz="4" w:space="0" w:color="000001"/>
            </w:tcBorders>
            <w:shd w:val="clear" w:color="auto" w:fill="auto"/>
            <w:vAlign w:val="center"/>
          </w:tcPr>
          <w:p w:rsidR="001B3514" w:rsidRDefault="00782E3E">
            <w:pPr>
              <w:pStyle w:val="ad"/>
              <w:rPr>
                <w:lang w:eastAsia="el-GR"/>
              </w:rPr>
            </w:pPr>
            <w:r>
              <w:rPr>
                <w:lang w:eastAsia="el-GR"/>
              </w:rPr>
              <w:t> </w:t>
            </w:r>
          </w:p>
        </w:tc>
        <w:tc>
          <w:tcPr>
            <w:tcW w:w="90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N</w:t>
            </w:r>
          </w:p>
        </w:tc>
        <w:tc>
          <w:tcPr>
            <w:tcW w:w="90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Mean</w:t>
            </w:r>
          </w:p>
        </w:tc>
        <w:tc>
          <w:tcPr>
            <w:tcW w:w="90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SD</w:t>
            </w:r>
          </w:p>
        </w:tc>
        <w:tc>
          <w:tcPr>
            <w:tcW w:w="90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F</w:t>
            </w:r>
          </w:p>
        </w:tc>
        <w:tc>
          <w:tcPr>
            <w:tcW w:w="90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Sig.</w:t>
            </w:r>
          </w:p>
        </w:tc>
      </w:tr>
      <w:tr w:rsidR="001B3514">
        <w:trPr>
          <w:trHeight w:val="261"/>
          <w:jc w:val="center"/>
        </w:trPr>
        <w:tc>
          <w:tcPr>
            <w:tcW w:w="2524"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Γενικός δείκτης συμπτωμάτων (SCL90)</w:t>
            </w:r>
          </w:p>
        </w:tc>
        <w:tc>
          <w:tcPr>
            <w:tcW w:w="160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Άγαμος/η</w:t>
            </w:r>
          </w:p>
        </w:tc>
        <w:tc>
          <w:tcPr>
            <w:tcW w:w="90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15</w:t>
            </w:r>
          </w:p>
        </w:tc>
        <w:tc>
          <w:tcPr>
            <w:tcW w:w="90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0.7</w:t>
            </w:r>
          </w:p>
        </w:tc>
        <w:tc>
          <w:tcPr>
            <w:tcW w:w="90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0.3</w:t>
            </w:r>
          </w:p>
        </w:tc>
        <w:tc>
          <w:tcPr>
            <w:tcW w:w="906"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3.244</w:t>
            </w:r>
          </w:p>
        </w:tc>
        <w:tc>
          <w:tcPr>
            <w:tcW w:w="90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0.025</w:t>
            </w:r>
          </w:p>
        </w:tc>
      </w:tr>
      <w:tr w:rsidR="001B3514">
        <w:trPr>
          <w:trHeight w:val="261"/>
          <w:jc w:val="center"/>
        </w:trPr>
        <w:tc>
          <w:tcPr>
            <w:tcW w:w="2524"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60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Έγγαμος/η</w:t>
            </w:r>
          </w:p>
        </w:tc>
        <w:tc>
          <w:tcPr>
            <w:tcW w:w="90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66</w:t>
            </w:r>
          </w:p>
        </w:tc>
        <w:tc>
          <w:tcPr>
            <w:tcW w:w="90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0.8</w:t>
            </w:r>
          </w:p>
        </w:tc>
        <w:tc>
          <w:tcPr>
            <w:tcW w:w="90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0.6</w:t>
            </w:r>
          </w:p>
        </w:tc>
        <w:tc>
          <w:tcPr>
            <w:tcW w:w="906"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90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r>
      <w:tr w:rsidR="001B3514">
        <w:trPr>
          <w:trHeight w:val="261"/>
          <w:jc w:val="center"/>
        </w:trPr>
        <w:tc>
          <w:tcPr>
            <w:tcW w:w="2524"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60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Διαζευγμένος/η</w:t>
            </w:r>
          </w:p>
        </w:tc>
        <w:tc>
          <w:tcPr>
            <w:tcW w:w="90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4</w:t>
            </w:r>
          </w:p>
        </w:tc>
        <w:tc>
          <w:tcPr>
            <w:tcW w:w="90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1.6</w:t>
            </w:r>
          </w:p>
        </w:tc>
        <w:tc>
          <w:tcPr>
            <w:tcW w:w="90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1.1</w:t>
            </w:r>
          </w:p>
        </w:tc>
        <w:tc>
          <w:tcPr>
            <w:tcW w:w="906"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90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r>
      <w:tr w:rsidR="001B3514">
        <w:trPr>
          <w:trHeight w:val="261"/>
          <w:jc w:val="center"/>
        </w:trPr>
        <w:tc>
          <w:tcPr>
            <w:tcW w:w="2524"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60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Χήρος/α</w:t>
            </w:r>
          </w:p>
        </w:tc>
        <w:tc>
          <w:tcPr>
            <w:tcW w:w="90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15</w:t>
            </w:r>
          </w:p>
        </w:tc>
        <w:tc>
          <w:tcPr>
            <w:tcW w:w="90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0.7</w:t>
            </w:r>
          </w:p>
        </w:tc>
        <w:tc>
          <w:tcPr>
            <w:tcW w:w="90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0.3</w:t>
            </w:r>
          </w:p>
        </w:tc>
        <w:tc>
          <w:tcPr>
            <w:tcW w:w="906"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90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r>
      <w:tr w:rsidR="001B3514">
        <w:trPr>
          <w:trHeight w:val="261"/>
          <w:jc w:val="center"/>
        </w:trPr>
        <w:tc>
          <w:tcPr>
            <w:tcW w:w="2524"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60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Total</w:t>
            </w:r>
          </w:p>
        </w:tc>
        <w:tc>
          <w:tcPr>
            <w:tcW w:w="90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100</w:t>
            </w:r>
          </w:p>
        </w:tc>
        <w:tc>
          <w:tcPr>
            <w:tcW w:w="90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0.8</w:t>
            </w:r>
          </w:p>
        </w:tc>
        <w:tc>
          <w:tcPr>
            <w:tcW w:w="90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0.6</w:t>
            </w:r>
          </w:p>
        </w:tc>
        <w:tc>
          <w:tcPr>
            <w:tcW w:w="906"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90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r>
      <w:tr w:rsidR="001B3514">
        <w:trPr>
          <w:trHeight w:val="261"/>
          <w:jc w:val="center"/>
        </w:trPr>
        <w:tc>
          <w:tcPr>
            <w:tcW w:w="2524"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Δείκτης ενόχλησης των θετικών συμπτωμάτων (SCL90)</w:t>
            </w:r>
          </w:p>
        </w:tc>
        <w:tc>
          <w:tcPr>
            <w:tcW w:w="160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Άγαμος/η</w:t>
            </w:r>
          </w:p>
        </w:tc>
        <w:tc>
          <w:tcPr>
            <w:tcW w:w="90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15</w:t>
            </w:r>
          </w:p>
        </w:tc>
        <w:tc>
          <w:tcPr>
            <w:tcW w:w="90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1.4</w:t>
            </w:r>
          </w:p>
        </w:tc>
        <w:tc>
          <w:tcPr>
            <w:tcW w:w="90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0.2</w:t>
            </w:r>
          </w:p>
        </w:tc>
        <w:tc>
          <w:tcPr>
            <w:tcW w:w="906"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3.257</w:t>
            </w:r>
          </w:p>
        </w:tc>
        <w:tc>
          <w:tcPr>
            <w:tcW w:w="90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0.025</w:t>
            </w:r>
          </w:p>
        </w:tc>
      </w:tr>
      <w:tr w:rsidR="001B3514">
        <w:trPr>
          <w:trHeight w:val="261"/>
          <w:jc w:val="center"/>
        </w:trPr>
        <w:tc>
          <w:tcPr>
            <w:tcW w:w="2524"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60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Έγγαμος/η</w:t>
            </w:r>
          </w:p>
        </w:tc>
        <w:tc>
          <w:tcPr>
            <w:tcW w:w="90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66</w:t>
            </w:r>
          </w:p>
        </w:tc>
        <w:tc>
          <w:tcPr>
            <w:tcW w:w="90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1.7</w:t>
            </w:r>
          </w:p>
        </w:tc>
        <w:tc>
          <w:tcPr>
            <w:tcW w:w="90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0.5</w:t>
            </w:r>
          </w:p>
        </w:tc>
        <w:tc>
          <w:tcPr>
            <w:tcW w:w="906"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90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r>
      <w:tr w:rsidR="001B3514">
        <w:trPr>
          <w:trHeight w:val="261"/>
          <w:jc w:val="center"/>
        </w:trPr>
        <w:tc>
          <w:tcPr>
            <w:tcW w:w="2524"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60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Διαζευγμένος/η</w:t>
            </w:r>
          </w:p>
        </w:tc>
        <w:tc>
          <w:tcPr>
            <w:tcW w:w="90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4</w:t>
            </w:r>
          </w:p>
        </w:tc>
        <w:tc>
          <w:tcPr>
            <w:tcW w:w="90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2.2</w:t>
            </w:r>
          </w:p>
        </w:tc>
        <w:tc>
          <w:tcPr>
            <w:tcW w:w="90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0.8</w:t>
            </w:r>
          </w:p>
        </w:tc>
        <w:tc>
          <w:tcPr>
            <w:tcW w:w="906"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90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r>
      <w:tr w:rsidR="001B3514">
        <w:trPr>
          <w:trHeight w:val="261"/>
          <w:jc w:val="center"/>
        </w:trPr>
        <w:tc>
          <w:tcPr>
            <w:tcW w:w="2524"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60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Χήρος/α</w:t>
            </w:r>
          </w:p>
        </w:tc>
        <w:tc>
          <w:tcPr>
            <w:tcW w:w="90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15</w:t>
            </w:r>
          </w:p>
        </w:tc>
        <w:tc>
          <w:tcPr>
            <w:tcW w:w="90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1.7</w:t>
            </w:r>
          </w:p>
        </w:tc>
        <w:tc>
          <w:tcPr>
            <w:tcW w:w="90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0.3</w:t>
            </w:r>
          </w:p>
        </w:tc>
        <w:tc>
          <w:tcPr>
            <w:tcW w:w="906"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90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r>
      <w:tr w:rsidR="001B3514">
        <w:trPr>
          <w:trHeight w:val="261"/>
          <w:jc w:val="center"/>
        </w:trPr>
        <w:tc>
          <w:tcPr>
            <w:tcW w:w="2524"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60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Total</w:t>
            </w:r>
          </w:p>
        </w:tc>
        <w:tc>
          <w:tcPr>
            <w:tcW w:w="90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100</w:t>
            </w:r>
          </w:p>
        </w:tc>
        <w:tc>
          <w:tcPr>
            <w:tcW w:w="90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1.7</w:t>
            </w:r>
          </w:p>
        </w:tc>
        <w:tc>
          <w:tcPr>
            <w:tcW w:w="90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0.5</w:t>
            </w:r>
          </w:p>
        </w:tc>
        <w:tc>
          <w:tcPr>
            <w:tcW w:w="906"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90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r>
      <w:tr w:rsidR="001B3514">
        <w:trPr>
          <w:trHeight w:val="261"/>
          <w:jc w:val="center"/>
        </w:trPr>
        <w:tc>
          <w:tcPr>
            <w:tcW w:w="2524"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lastRenderedPageBreak/>
              <w:t>Ψυχωτισμός (EPQ)</w:t>
            </w:r>
          </w:p>
        </w:tc>
        <w:tc>
          <w:tcPr>
            <w:tcW w:w="160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Άγαμος/η</w:t>
            </w:r>
          </w:p>
        </w:tc>
        <w:tc>
          <w:tcPr>
            <w:tcW w:w="90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15</w:t>
            </w:r>
          </w:p>
        </w:tc>
        <w:tc>
          <w:tcPr>
            <w:tcW w:w="90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1.1</w:t>
            </w:r>
          </w:p>
        </w:tc>
        <w:tc>
          <w:tcPr>
            <w:tcW w:w="90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0.1</w:t>
            </w:r>
          </w:p>
        </w:tc>
        <w:tc>
          <w:tcPr>
            <w:tcW w:w="906"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3.784</w:t>
            </w:r>
          </w:p>
        </w:tc>
        <w:tc>
          <w:tcPr>
            <w:tcW w:w="90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0.013</w:t>
            </w:r>
          </w:p>
        </w:tc>
      </w:tr>
      <w:tr w:rsidR="001B3514">
        <w:trPr>
          <w:trHeight w:val="261"/>
          <w:jc w:val="center"/>
        </w:trPr>
        <w:tc>
          <w:tcPr>
            <w:tcW w:w="2524"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60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Έγγαμος/η</w:t>
            </w:r>
          </w:p>
        </w:tc>
        <w:tc>
          <w:tcPr>
            <w:tcW w:w="90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66</w:t>
            </w:r>
          </w:p>
        </w:tc>
        <w:tc>
          <w:tcPr>
            <w:tcW w:w="90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1.1</w:t>
            </w:r>
          </w:p>
        </w:tc>
        <w:tc>
          <w:tcPr>
            <w:tcW w:w="90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0.1</w:t>
            </w:r>
          </w:p>
        </w:tc>
        <w:tc>
          <w:tcPr>
            <w:tcW w:w="906"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90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r>
      <w:tr w:rsidR="001B3514">
        <w:trPr>
          <w:trHeight w:val="261"/>
          <w:jc w:val="center"/>
        </w:trPr>
        <w:tc>
          <w:tcPr>
            <w:tcW w:w="2524"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60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Διαζευγμένος/η</w:t>
            </w:r>
          </w:p>
        </w:tc>
        <w:tc>
          <w:tcPr>
            <w:tcW w:w="90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4</w:t>
            </w:r>
          </w:p>
        </w:tc>
        <w:tc>
          <w:tcPr>
            <w:tcW w:w="90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1.0</w:t>
            </w:r>
          </w:p>
        </w:tc>
        <w:tc>
          <w:tcPr>
            <w:tcW w:w="90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0.1</w:t>
            </w:r>
          </w:p>
        </w:tc>
        <w:tc>
          <w:tcPr>
            <w:tcW w:w="906"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90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r>
      <w:tr w:rsidR="001B3514">
        <w:trPr>
          <w:trHeight w:val="261"/>
          <w:jc w:val="center"/>
        </w:trPr>
        <w:tc>
          <w:tcPr>
            <w:tcW w:w="2524"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60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Χήρος/α</w:t>
            </w:r>
          </w:p>
        </w:tc>
        <w:tc>
          <w:tcPr>
            <w:tcW w:w="90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15</w:t>
            </w:r>
          </w:p>
        </w:tc>
        <w:tc>
          <w:tcPr>
            <w:tcW w:w="90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1.2</w:t>
            </w:r>
          </w:p>
        </w:tc>
        <w:tc>
          <w:tcPr>
            <w:tcW w:w="90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0.1</w:t>
            </w:r>
          </w:p>
        </w:tc>
        <w:tc>
          <w:tcPr>
            <w:tcW w:w="906"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90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r>
      <w:tr w:rsidR="001B3514">
        <w:trPr>
          <w:trHeight w:val="261"/>
          <w:jc w:val="center"/>
        </w:trPr>
        <w:tc>
          <w:tcPr>
            <w:tcW w:w="2524"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60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Total</w:t>
            </w:r>
          </w:p>
        </w:tc>
        <w:tc>
          <w:tcPr>
            <w:tcW w:w="90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100</w:t>
            </w:r>
          </w:p>
        </w:tc>
        <w:tc>
          <w:tcPr>
            <w:tcW w:w="90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1.1</w:t>
            </w:r>
          </w:p>
        </w:tc>
        <w:tc>
          <w:tcPr>
            <w:tcW w:w="90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0.1</w:t>
            </w:r>
          </w:p>
        </w:tc>
        <w:tc>
          <w:tcPr>
            <w:tcW w:w="906"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90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r>
      <w:tr w:rsidR="001B3514">
        <w:trPr>
          <w:trHeight w:val="261"/>
          <w:jc w:val="center"/>
        </w:trPr>
        <w:tc>
          <w:tcPr>
            <w:tcW w:w="2524"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Οι απόψεις σας για τα φάρμακα που σας έγραψαν οι γιατροί σας (BMQ10)</w:t>
            </w:r>
          </w:p>
        </w:tc>
        <w:tc>
          <w:tcPr>
            <w:tcW w:w="160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Άγαμος/η</w:t>
            </w:r>
          </w:p>
        </w:tc>
        <w:tc>
          <w:tcPr>
            <w:tcW w:w="90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15</w:t>
            </w:r>
          </w:p>
        </w:tc>
        <w:tc>
          <w:tcPr>
            <w:tcW w:w="90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2.6</w:t>
            </w:r>
          </w:p>
        </w:tc>
        <w:tc>
          <w:tcPr>
            <w:tcW w:w="90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0.8</w:t>
            </w:r>
          </w:p>
        </w:tc>
        <w:tc>
          <w:tcPr>
            <w:tcW w:w="906"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2.980</w:t>
            </w:r>
          </w:p>
        </w:tc>
        <w:tc>
          <w:tcPr>
            <w:tcW w:w="90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0.035</w:t>
            </w:r>
          </w:p>
        </w:tc>
      </w:tr>
      <w:tr w:rsidR="001B3514">
        <w:trPr>
          <w:trHeight w:val="261"/>
          <w:jc w:val="center"/>
        </w:trPr>
        <w:tc>
          <w:tcPr>
            <w:tcW w:w="2524"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60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Έγγαμος/η</w:t>
            </w:r>
          </w:p>
        </w:tc>
        <w:tc>
          <w:tcPr>
            <w:tcW w:w="90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66</w:t>
            </w:r>
          </w:p>
        </w:tc>
        <w:tc>
          <w:tcPr>
            <w:tcW w:w="90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3.0</w:t>
            </w:r>
          </w:p>
        </w:tc>
        <w:tc>
          <w:tcPr>
            <w:tcW w:w="90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0.7</w:t>
            </w:r>
          </w:p>
        </w:tc>
        <w:tc>
          <w:tcPr>
            <w:tcW w:w="906"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90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r>
      <w:tr w:rsidR="001B3514">
        <w:trPr>
          <w:trHeight w:val="261"/>
          <w:jc w:val="center"/>
        </w:trPr>
        <w:tc>
          <w:tcPr>
            <w:tcW w:w="2524"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60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Διαζευγμένος/η</w:t>
            </w:r>
          </w:p>
        </w:tc>
        <w:tc>
          <w:tcPr>
            <w:tcW w:w="90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4</w:t>
            </w:r>
          </w:p>
        </w:tc>
        <w:tc>
          <w:tcPr>
            <w:tcW w:w="90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3.5</w:t>
            </w:r>
          </w:p>
        </w:tc>
        <w:tc>
          <w:tcPr>
            <w:tcW w:w="90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0.7</w:t>
            </w:r>
          </w:p>
        </w:tc>
        <w:tc>
          <w:tcPr>
            <w:tcW w:w="906"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90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r>
      <w:tr w:rsidR="001B3514">
        <w:trPr>
          <w:trHeight w:val="261"/>
          <w:jc w:val="center"/>
        </w:trPr>
        <w:tc>
          <w:tcPr>
            <w:tcW w:w="2524"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60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Χήρος/α</w:t>
            </w:r>
          </w:p>
        </w:tc>
        <w:tc>
          <w:tcPr>
            <w:tcW w:w="90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15</w:t>
            </w:r>
          </w:p>
        </w:tc>
        <w:tc>
          <w:tcPr>
            <w:tcW w:w="90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3.2</w:t>
            </w:r>
          </w:p>
        </w:tc>
        <w:tc>
          <w:tcPr>
            <w:tcW w:w="907"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0.4</w:t>
            </w:r>
          </w:p>
        </w:tc>
        <w:tc>
          <w:tcPr>
            <w:tcW w:w="906"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90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r>
      <w:tr w:rsidR="001B3514">
        <w:trPr>
          <w:trHeight w:val="261"/>
          <w:jc w:val="center"/>
        </w:trPr>
        <w:tc>
          <w:tcPr>
            <w:tcW w:w="2524"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605"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Total</w:t>
            </w:r>
          </w:p>
        </w:tc>
        <w:tc>
          <w:tcPr>
            <w:tcW w:w="905"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100</w:t>
            </w:r>
          </w:p>
        </w:tc>
        <w:tc>
          <w:tcPr>
            <w:tcW w:w="906"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3.0</w:t>
            </w:r>
          </w:p>
        </w:tc>
        <w:tc>
          <w:tcPr>
            <w:tcW w:w="907" w:type="dxa"/>
            <w:tcBorders>
              <w:top w:val="single" w:sz="4" w:space="0" w:color="00000A"/>
              <w:bottom w:val="single" w:sz="4" w:space="0" w:color="00000A"/>
            </w:tcBorders>
            <w:shd w:val="clear" w:color="auto" w:fill="auto"/>
            <w:vAlign w:val="center"/>
          </w:tcPr>
          <w:p w:rsidR="001B3514" w:rsidRDefault="00782E3E">
            <w:pPr>
              <w:pStyle w:val="ad"/>
              <w:rPr>
                <w:lang w:eastAsia="el-GR"/>
              </w:rPr>
            </w:pPr>
            <w:r>
              <w:rPr>
                <w:lang w:eastAsia="el-GR"/>
              </w:rPr>
              <w:t>0.7</w:t>
            </w:r>
          </w:p>
        </w:tc>
        <w:tc>
          <w:tcPr>
            <w:tcW w:w="906"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90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r>
    </w:tbl>
    <w:p w:rsidR="001B3514" w:rsidRDefault="00782E3E">
      <w:pPr>
        <w:rPr>
          <w:lang w:eastAsia="zh-CN" w:bidi="hi-IN"/>
        </w:rPr>
      </w:pPr>
      <w:r>
        <w:rPr>
          <w:lang w:eastAsia="zh-CN" w:bidi="hi-IN"/>
        </w:rPr>
        <w:t xml:space="preserve">Σχετικά με τον παραπάνω πίνακα υπάρχει στατιστικώς σημαντική διαφορά ανάμεσα στην οικογενειακή κατάσταση και τις μεταβλητές «Γενικός δείκτης συμπτωμάτων (SCL90)» (Sig=0.025&lt;0.05), «Δείκτης ενόχλησης των θετικών συμπτωμάτων (SCL90)» (Sig=0.025&lt;0.05), «Ψυχωτισμός (EPQ)» (Sig=0.013&lt;0.05) και «Οι απόψεις σας για τα φάρμακα που σας έγραψαν οι γιατροί σας (BMQ10)» (Sig=0.035&lt;0.05). </w:t>
      </w:r>
    </w:p>
    <w:p w:rsidR="001B3514" w:rsidRDefault="001B3514">
      <w:pPr>
        <w:rPr>
          <w:lang w:eastAsia="zh-CN" w:bidi="hi-IN"/>
        </w:rPr>
      </w:pPr>
    </w:p>
    <w:p w:rsidR="001B3514" w:rsidRDefault="00782E3E">
      <w:pPr>
        <w:pStyle w:val="aa"/>
        <w:rPr>
          <w:lang w:eastAsia="zh-CN" w:bidi="hi-IN"/>
        </w:rPr>
      </w:pPr>
      <w:bookmarkStart w:id="68" w:name="_Toc64641834"/>
      <w:r>
        <w:t xml:space="preserve">Πίνακας </w:t>
      </w:r>
      <w:r w:rsidR="00B061D7">
        <w:fldChar w:fldCharType="begin"/>
      </w:r>
      <w:r>
        <w:instrText>SEQ Πίνακας \* ARABIC</w:instrText>
      </w:r>
      <w:r w:rsidR="00B061D7">
        <w:fldChar w:fldCharType="separate"/>
      </w:r>
      <w:r w:rsidR="001D06AA">
        <w:rPr>
          <w:noProof/>
        </w:rPr>
        <w:t>27</w:t>
      </w:r>
      <w:r w:rsidR="00B061D7">
        <w:fldChar w:fldCharType="end"/>
      </w:r>
      <w:r>
        <w:t xml:space="preserve"> Αποτελέσματα συσχέτισης του εκπαιδευτικού επιπέδου και της ύπαρξης παιδιών του δείγματος με τις επιμέρους κλίμακες της έρευνας</w:t>
      </w:r>
      <w:bookmarkEnd w:id="68"/>
    </w:p>
    <w:tbl>
      <w:tblPr>
        <w:tblW w:w="7901" w:type="dxa"/>
        <w:jc w:val="center"/>
        <w:tblBorders>
          <w:top w:val="single" w:sz="4" w:space="0" w:color="000001"/>
          <w:bottom w:val="single" w:sz="4" w:space="0" w:color="000001"/>
          <w:insideH w:val="single" w:sz="4" w:space="0" w:color="000001"/>
        </w:tblBorders>
        <w:tblLook w:val="04A0"/>
      </w:tblPr>
      <w:tblGrid>
        <w:gridCol w:w="1530"/>
        <w:gridCol w:w="1310"/>
        <w:gridCol w:w="1163"/>
        <w:gridCol w:w="1230"/>
        <w:gridCol w:w="1586"/>
        <w:gridCol w:w="1411"/>
      </w:tblGrid>
      <w:tr w:rsidR="001B3514">
        <w:trPr>
          <w:trHeight w:val="1588"/>
          <w:jc w:val="center"/>
        </w:trPr>
        <w:tc>
          <w:tcPr>
            <w:tcW w:w="142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w:t>
            </w:r>
          </w:p>
        </w:tc>
        <w:tc>
          <w:tcPr>
            <w:tcW w:w="121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w:t>
            </w:r>
          </w:p>
        </w:tc>
        <w:tc>
          <w:tcPr>
            <w:tcW w:w="131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Οι απόψεις σας για τα φάρμακα που σας έγραψαν οι γιατροί σας (BMQ10)</w:t>
            </w:r>
          </w:p>
        </w:tc>
        <w:tc>
          <w:tcPr>
            <w:tcW w:w="115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Morisky scale (MMAS8)</w:t>
            </w:r>
          </w:p>
        </w:tc>
        <w:tc>
          <w:tcPr>
            <w:tcW w:w="147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Δείκτης ενόχλησης των θετικών συμπτωμάτων (SCL90)</w:t>
            </w:r>
          </w:p>
        </w:tc>
        <w:tc>
          <w:tcPr>
            <w:tcW w:w="132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Ψυχωτισμός (EPQ)</w:t>
            </w:r>
            <w:bookmarkStart w:id="69" w:name="_Hlk64370630"/>
            <w:bookmarkEnd w:id="69"/>
          </w:p>
        </w:tc>
      </w:tr>
      <w:tr w:rsidR="001B3514">
        <w:trPr>
          <w:trHeight w:val="283"/>
          <w:jc w:val="center"/>
        </w:trPr>
        <w:tc>
          <w:tcPr>
            <w:tcW w:w="142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Εκπαιδευτικό επίπεδο</w:t>
            </w:r>
          </w:p>
        </w:tc>
        <w:tc>
          <w:tcPr>
            <w:tcW w:w="121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xml:space="preserve">Correlation </w:t>
            </w:r>
          </w:p>
        </w:tc>
        <w:tc>
          <w:tcPr>
            <w:tcW w:w="131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-.236</w:t>
            </w:r>
            <w:r>
              <w:rPr>
                <w:vertAlign w:val="superscript"/>
                <w:lang w:eastAsia="el-GR"/>
              </w:rPr>
              <w:t>*</w:t>
            </w:r>
          </w:p>
        </w:tc>
        <w:tc>
          <w:tcPr>
            <w:tcW w:w="115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.216</w:t>
            </w:r>
            <w:r>
              <w:rPr>
                <w:vertAlign w:val="superscript"/>
                <w:lang w:eastAsia="el-GR"/>
              </w:rPr>
              <w:t>*</w:t>
            </w:r>
          </w:p>
        </w:tc>
        <w:tc>
          <w:tcPr>
            <w:tcW w:w="147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-.259</w:t>
            </w:r>
            <w:r>
              <w:rPr>
                <w:vertAlign w:val="superscript"/>
                <w:lang w:eastAsia="el-GR"/>
              </w:rPr>
              <w:t>**</w:t>
            </w:r>
          </w:p>
        </w:tc>
        <w:tc>
          <w:tcPr>
            <w:tcW w:w="1320" w:type="dxa"/>
            <w:tcBorders>
              <w:top w:val="single" w:sz="4" w:space="0" w:color="000001"/>
              <w:bottom w:val="single" w:sz="4" w:space="0" w:color="000001"/>
            </w:tcBorders>
            <w:shd w:val="clear" w:color="auto" w:fill="auto"/>
            <w:vAlign w:val="center"/>
          </w:tcPr>
          <w:p w:rsidR="001B3514" w:rsidRDefault="001B3514">
            <w:pPr>
              <w:pStyle w:val="ad"/>
              <w:rPr>
                <w:lang w:eastAsia="el-GR"/>
              </w:rPr>
            </w:pPr>
          </w:p>
        </w:tc>
      </w:tr>
      <w:tr w:rsidR="001B3514">
        <w:trPr>
          <w:trHeight w:val="283"/>
          <w:jc w:val="center"/>
        </w:trPr>
        <w:tc>
          <w:tcPr>
            <w:tcW w:w="142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21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Sig.</w:t>
            </w:r>
          </w:p>
        </w:tc>
        <w:tc>
          <w:tcPr>
            <w:tcW w:w="131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0.018</w:t>
            </w:r>
          </w:p>
        </w:tc>
        <w:tc>
          <w:tcPr>
            <w:tcW w:w="115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0.031</w:t>
            </w:r>
          </w:p>
        </w:tc>
        <w:tc>
          <w:tcPr>
            <w:tcW w:w="147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0.009</w:t>
            </w:r>
          </w:p>
        </w:tc>
        <w:tc>
          <w:tcPr>
            <w:tcW w:w="1320" w:type="dxa"/>
            <w:tcBorders>
              <w:top w:val="single" w:sz="4" w:space="0" w:color="000001"/>
              <w:bottom w:val="single" w:sz="4" w:space="0" w:color="000001"/>
            </w:tcBorders>
            <w:shd w:val="clear" w:color="auto" w:fill="auto"/>
            <w:vAlign w:val="center"/>
          </w:tcPr>
          <w:p w:rsidR="001B3514" w:rsidRDefault="001B3514">
            <w:pPr>
              <w:pStyle w:val="ad"/>
              <w:rPr>
                <w:lang w:eastAsia="el-GR"/>
              </w:rPr>
            </w:pPr>
          </w:p>
        </w:tc>
      </w:tr>
      <w:tr w:rsidR="001B3514">
        <w:trPr>
          <w:trHeight w:val="283"/>
          <w:jc w:val="center"/>
        </w:trPr>
        <w:tc>
          <w:tcPr>
            <w:tcW w:w="142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21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N</w:t>
            </w:r>
          </w:p>
        </w:tc>
        <w:tc>
          <w:tcPr>
            <w:tcW w:w="131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100</w:t>
            </w:r>
          </w:p>
        </w:tc>
        <w:tc>
          <w:tcPr>
            <w:tcW w:w="115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100</w:t>
            </w:r>
          </w:p>
        </w:tc>
        <w:tc>
          <w:tcPr>
            <w:tcW w:w="147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100</w:t>
            </w:r>
          </w:p>
        </w:tc>
        <w:tc>
          <w:tcPr>
            <w:tcW w:w="132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w:t>
            </w:r>
          </w:p>
        </w:tc>
      </w:tr>
      <w:tr w:rsidR="001B3514">
        <w:trPr>
          <w:trHeight w:val="283"/>
          <w:jc w:val="center"/>
        </w:trPr>
        <w:tc>
          <w:tcPr>
            <w:tcW w:w="1420"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Έχετε παιδιά;</w:t>
            </w:r>
          </w:p>
        </w:tc>
        <w:tc>
          <w:tcPr>
            <w:tcW w:w="121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xml:space="preserve">Correlation </w:t>
            </w:r>
          </w:p>
        </w:tc>
        <w:tc>
          <w:tcPr>
            <w:tcW w:w="1319" w:type="dxa"/>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151" w:type="dxa"/>
            <w:tcBorders>
              <w:top w:val="single" w:sz="4" w:space="0" w:color="000001"/>
              <w:bottom w:val="single" w:sz="4" w:space="0" w:color="000001"/>
            </w:tcBorders>
            <w:shd w:val="clear" w:color="auto" w:fill="auto"/>
            <w:vAlign w:val="center"/>
          </w:tcPr>
          <w:p w:rsidR="001B3514" w:rsidRDefault="001B3514">
            <w:pPr>
              <w:pStyle w:val="ad"/>
              <w:rPr>
                <w:rFonts w:cs="Times New Roman"/>
                <w:sz w:val="20"/>
                <w:szCs w:val="20"/>
                <w:lang w:eastAsia="el-GR"/>
              </w:rPr>
            </w:pPr>
          </w:p>
        </w:tc>
        <w:tc>
          <w:tcPr>
            <w:tcW w:w="1472" w:type="dxa"/>
            <w:tcBorders>
              <w:top w:val="single" w:sz="4" w:space="0" w:color="000001"/>
              <w:bottom w:val="single" w:sz="4" w:space="0" w:color="000001"/>
            </w:tcBorders>
            <w:shd w:val="clear" w:color="auto" w:fill="auto"/>
            <w:vAlign w:val="center"/>
          </w:tcPr>
          <w:p w:rsidR="001B3514" w:rsidRDefault="001B3514">
            <w:pPr>
              <w:pStyle w:val="ad"/>
              <w:rPr>
                <w:rFonts w:cs="Times New Roman"/>
                <w:sz w:val="20"/>
                <w:szCs w:val="20"/>
                <w:lang w:eastAsia="el-GR"/>
              </w:rPr>
            </w:pPr>
          </w:p>
        </w:tc>
        <w:tc>
          <w:tcPr>
            <w:tcW w:w="132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-.307</w:t>
            </w:r>
            <w:r>
              <w:rPr>
                <w:vertAlign w:val="superscript"/>
                <w:lang w:eastAsia="el-GR"/>
              </w:rPr>
              <w:t>**</w:t>
            </w:r>
          </w:p>
        </w:tc>
      </w:tr>
      <w:tr w:rsidR="001B3514">
        <w:trPr>
          <w:trHeight w:val="283"/>
          <w:jc w:val="center"/>
        </w:trPr>
        <w:tc>
          <w:tcPr>
            <w:tcW w:w="142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21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Sig.</w:t>
            </w:r>
          </w:p>
        </w:tc>
        <w:tc>
          <w:tcPr>
            <w:tcW w:w="1319" w:type="dxa"/>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151" w:type="dxa"/>
            <w:tcBorders>
              <w:top w:val="single" w:sz="4" w:space="0" w:color="000001"/>
              <w:bottom w:val="single" w:sz="4" w:space="0" w:color="000001"/>
            </w:tcBorders>
            <w:shd w:val="clear" w:color="auto" w:fill="auto"/>
            <w:vAlign w:val="center"/>
          </w:tcPr>
          <w:p w:rsidR="001B3514" w:rsidRDefault="001B3514">
            <w:pPr>
              <w:pStyle w:val="ad"/>
              <w:rPr>
                <w:rFonts w:cs="Times New Roman"/>
                <w:sz w:val="20"/>
                <w:szCs w:val="20"/>
                <w:lang w:eastAsia="el-GR"/>
              </w:rPr>
            </w:pPr>
          </w:p>
        </w:tc>
        <w:tc>
          <w:tcPr>
            <w:tcW w:w="1472" w:type="dxa"/>
            <w:tcBorders>
              <w:top w:val="single" w:sz="4" w:space="0" w:color="000001"/>
              <w:bottom w:val="single" w:sz="4" w:space="0" w:color="000001"/>
            </w:tcBorders>
            <w:shd w:val="clear" w:color="auto" w:fill="auto"/>
            <w:vAlign w:val="center"/>
          </w:tcPr>
          <w:p w:rsidR="001B3514" w:rsidRDefault="001B3514">
            <w:pPr>
              <w:pStyle w:val="ad"/>
              <w:rPr>
                <w:rFonts w:cs="Times New Roman"/>
                <w:sz w:val="20"/>
                <w:szCs w:val="20"/>
                <w:lang w:eastAsia="el-GR"/>
              </w:rPr>
            </w:pPr>
          </w:p>
        </w:tc>
        <w:tc>
          <w:tcPr>
            <w:tcW w:w="132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0.002</w:t>
            </w:r>
          </w:p>
        </w:tc>
      </w:tr>
      <w:tr w:rsidR="001B3514">
        <w:trPr>
          <w:trHeight w:val="283"/>
          <w:jc w:val="center"/>
        </w:trPr>
        <w:tc>
          <w:tcPr>
            <w:tcW w:w="1420"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21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N</w:t>
            </w:r>
          </w:p>
        </w:tc>
        <w:tc>
          <w:tcPr>
            <w:tcW w:w="131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w:t>
            </w:r>
          </w:p>
        </w:tc>
        <w:tc>
          <w:tcPr>
            <w:tcW w:w="115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w:t>
            </w:r>
          </w:p>
        </w:tc>
        <w:tc>
          <w:tcPr>
            <w:tcW w:w="147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w:t>
            </w:r>
          </w:p>
        </w:tc>
        <w:tc>
          <w:tcPr>
            <w:tcW w:w="1320"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100</w:t>
            </w:r>
          </w:p>
        </w:tc>
      </w:tr>
    </w:tbl>
    <w:p w:rsidR="001B3514" w:rsidRDefault="00782E3E">
      <w:pPr>
        <w:rPr>
          <w:lang w:eastAsia="zh-CN" w:bidi="hi-IN"/>
        </w:rPr>
      </w:pPr>
      <w:r>
        <w:rPr>
          <w:lang w:eastAsia="zh-CN" w:bidi="hi-IN"/>
        </w:rPr>
        <w:t xml:space="preserve">Από τον παραπάνω πίνακα φαίνεται πως υπάρχει στατιστικώς σημαντική συσχέτιση ανάμεσα στο εκπαιδευτικό επίπεδο του δείγματος και τις μεταβλητές «Οι απόψεις σας για τα φάρμακα που σας έγραψαν οι γιατροί σας (BMQ10)» (Sig=0.018&lt;0.05), «Morisky scale (MMAS8)» (Sig=0.031&lt;0.05) και «Δείκτης ενόχλησης των θετικών συμπτωμάτων (SCL90)» </w:t>
      </w:r>
      <w:r>
        <w:rPr>
          <w:lang w:eastAsia="zh-CN" w:bidi="hi-IN"/>
        </w:rPr>
        <w:lastRenderedPageBreak/>
        <w:t>(Sig=0.009&lt;0.05). Αυτό σημαίνει πως όσο μεγαλύτερο είναι το επίπεδο εκπαίδευσης των ανθρώπων, τόσο χειρότερη είναι η άποψη των ασθενών για τα φάρμακα που τους χορήγησαν οι γιατροί και τόσο μικρότερος είναι ο δείκτης ενόχλησης των θετικών συμπτωμάτων, που αναφέρεται στην ψυχοπαθολογία των ασθενών. Επιπλέον, υπάρχει στατιστικώς σημαντική συσχέτιση με αρνητική κατεύθυνση ανάμεσα στην ύπαρξη παιδιών και τη μεταβλητή «Ψυχωτισμός (EPQ)» (Sig=0.002&lt;0.05). Όσο μεγαλύτερο το πλήθος των παιδιών των ασθενών τόσο μικρότερη η τιμή του ψυχωτισμού που παρουσιάζει το δείγμα.</w:t>
      </w:r>
    </w:p>
    <w:p w:rsidR="001B3514" w:rsidRDefault="00782E3E">
      <w:pPr>
        <w:spacing w:line="259" w:lineRule="auto"/>
        <w:jc w:val="left"/>
        <w:rPr>
          <w:lang w:eastAsia="zh-CN" w:bidi="hi-IN"/>
        </w:rPr>
      </w:pPr>
      <w:r>
        <w:br w:type="page"/>
      </w:r>
    </w:p>
    <w:p w:rsidR="001B3514" w:rsidRDefault="00782E3E">
      <w:pPr>
        <w:pStyle w:val="aa"/>
        <w:rPr>
          <w:lang w:eastAsia="zh-CN" w:bidi="hi-IN"/>
        </w:rPr>
      </w:pPr>
      <w:bookmarkStart w:id="70" w:name="_Toc64641835"/>
      <w:r>
        <w:lastRenderedPageBreak/>
        <w:t xml:space="preserve">Πίνακας </w:t>
      </w:r>
      <w:r w:rsidR="00B061D7">
        <w:fldChar w:fldCharType="begin"/>
      </w:r>
      <w:r>
        <w:instrText>SEQ Πίνακας \* ARABIC</w:instrText>
      </w:r>
      <w:r w:rsidR="00B061D7">
        <w:fldChar w:fldCharType="separate"/>
      </w:r>
      <w:r w:rsidR="001D06AA">
        <w:rPr>
          <w:noProof/>
        </w:rPr>
        <w:t>28</w:t>
      </w:r>
      <w:r w:rsidR="00B061D7">
        <w:fldChar w:fldCharType="end"/>
      </w:r>
      <w:r>
        <w:t xml:space="preserve"> Αποτελέσματα συσχέτισης της επίδρασης του COVID 19 με τις κλίμακες SCL90 της έρευνας</w:t>
      </w:r>
      <w:bookmarkEnd w:id="70"/>
    </w:p>
    <w:tbl>
      <w:tblPr>
        <w:tblW w:w="8476" w:type="dxa"/>
        <w:jc w:val="center"/>
        <w:tblBorders>
          <w:top w:val="single" w:sz="4" w:space="0" w:color="000001"/>
          <w:bottom w:val="single" w:sz="4" w:space="0" w:color="000001"/>
          <w:insideH w:val="single" w:sz="4" w:space="0" w:color="000001"/>
        </w:tblBorders>
        <w:tblLook w:val="04A0"/>
      </w:tblPr>
      <w:tblGrid>
        <w:gridCol w:w="1906"/>
        <w:gridCol w:w="1310"/>
        <w:gridCol w:w="1586"/>
        <w:gridCol w:w="1837"/>
        <w:gridCol w:w="1837"/>
      </w:tblGrid>
      <w:tr w:rsidR="001B3514">
        <w:trPr>
          <w:trHeight w:val="1187"/>
          <w:jc w:val="center"/>
        </w:trPr>
        <w:tc>
          <w:tcPr>
            <w:tcW w:w="1979"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w:t>
            </w:r>
          </w:p>
        </w:tc>
        <w:tc>
          <w:tcPr>
            <w:tcW w:w="126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w:t>
            </w:r>
          </w:p>
        </w:tc>
        <w:tc>
          <w:tcPr>
            <w:tcW w:w="150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Γενικός δείκτης συμπτωμάτων (SCL90)</w:t>
            </w:r>
          </w:p>
        </w:tc>
        <w:tc>
          <w:tcPr>
            <w:tcW w:w="186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Σύνολο των θετικών συμπτωμάτων (SCL90)</w:t>
            </w:r>
          </w:p>
        </w:tc>
        <w:tc>
          <w:tcPr>
            <w:tcW w:w="186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Δείκτης ενόχλησης των θετικών συμπτωμάτων (SCL90)</w:t>
            </w:r>
          </w:p>
        </w:tc>
      </w:tr>
      <w:tr w:rsidR="001B3514">
        <w:trPr>
          <w:trHeight w:val="281"/>
          <w:jc w:val="center"/>
        </w:trPr>
        <w:tc>
          <w:tcPr>
            <w:tcW w:w="1979"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Πόσο επηρέασε ο COVID 19 την οικογένειά σας;</w:t>
            </w:r>
          </w:p>
        </w:tc>
        <w:tc>
          <w:tcPr>
            <w:tcW w:w="126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xml:space="preserve">Correlation </w:t>
            </w:r>
          </w:p>
        </w:tc>
        <w:tc>
          <w:tcPr>
            <w:tcW w:w="1508" w:type="dxa"/>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864" w:type="dxa"/>
            <w:tcBorders>
              <w:top w:val="single" w:sz="4" w:space="0" w:color="000001"/>
              <w:bottom w:val="single" w:sz="4" w:space="0" w:color="000001"/>
            </w:tcBorders>
            <w:shd w:val="clear" w:color="auto" w:fill="auto"/>
            <w:vAlign w:val="center"/>
          </w:tcPr>
          <w:p w:rsidR="001B3514" w:rsidRDefault="001B3514">
            <w:pPr>
              <w:pStyle w:val="ad"/>
              <w:rPr>
                <w:rFonts w:cs="Times New Roman"/>
                <w:sz w:val="20"/>
                <w:szCs w:val="20"/>
                <w:lang w:eastAsia="el-GR"/>
              </w:rPr>
            </w:pPr>
          </w:p>
        </w:tc>
        <w:tc>
          <w:tcPr>
            <w:tcW w:w="186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.222</w:t>
            </w:r>
            <w:r>
              <w:rPr>
                <w:vertAlign w:val="superscript"/>
                <w:lang w:eastAsia="el-GR"/>
              </w:rPr>
              <w:t>*</w:t>
            </w:r>
          </w:p>
        </w:tc>
      </w:tr>
      <w:tr w:rsidR="001B3514">
        <w:trPr>
          <w:trHeight w:val="281"/>
          <w:jc w:val="center"/>
        </w:trPr>
        <w:tc>
          <w:tcPr>
            <w:tcW w:w="1979"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26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Sig.</w:t>
            </w:r>
          </w:p>
        </w:tc>
        <w:tc>
          <w:tcPr>
            <w:tcW w:w="1508" w:type="dxa"/>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864" w:type="dxa"/>
            <w:tcBorders>
              <w:top w:val="single" w:sz="4" w:space="0" w:color="000001"/>
              <w:bottom w:val="single" w:sz="4" w:space="0" w:color="000001"/>
            </w:tcBorders>
            <w:shd w:val="clear" w:color="auto" w:fill="auto"/>
            <w:vAlign w:val="center"/>
          </w:tcPr>
          <w:p w:rsidR="001B3514" w:rsidRDefault="001B3514">
            <w:pPr>
              <w:pStyle w:val="ad"/>
              <w:rPr>
                <w:rFonts w:cs="Times New Roman"/>
                <w:sz w:val="20"/>
                <w:szCs w:val="20"/>
                <w:lang w:eastAsia="el-GR"/>
              </w:rPr>
            </w:pPr>
          </w:p>
        </w:tc>
        <w:tc>
          <w:tcPr>
            <w:tcW w:w="186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0.027</w:t>
            </w:r>
          </w:p>
        </w:tc>
      </w:tr>
      <w:tr w:rsidR="001B3514">
        <w:trPr>
          <w:trHeight w:val="281"/>
          <w:jc w:val="center"/>
        </w:trPr>
        <w:tc>
          <w:tcPr>
            <w:tcW w:w="1979"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26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N</w:t>
            </w:r>
          </w:p>
        </w:tc>
        <w:tc>
          <w:tcPr>
            <w:tcW w:w="150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w:t>
            </w:r>
          </w:p>
        </w:tc>
        <w:tc>
          <w:tcPr>
            <w:tcW w:w="186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w:t>
            </w:r>
          </w:p>
        </w:tc>
        <w:tc>
          <w:tcPr>
            <w:tcW w:w="186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100</w:t>
            </w:r>
          </w:p>
        </w:tc>
      </w:tr>
      <w:tr w:rsidR="001B3514">
        <w:trPr>
          <w:trHeight w:val="281"/>
          <w:jc w:val="center"/>
        </w:trPr>
        <w:tc>
          <w:tcPr>
            <w:tcW w:w="1979"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Πόσο επηρέασε ο COVID 19 γενικά την υγεία σας;</w:t>
            </w:r>
          </w:p>
        </w:tc>
        <w:tc>
          <w:tcPr>
            <w:tcW w:w="126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xml:space="preserve">Correlation </w:t>
            </w:r>
          </w:p>
        </w:tc>
        <w:tc>
          <w:tcPr>
            <w:tcW w:w="150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.221</w:t>
            </w:r>
            <w:r>
              <w:rPr>
                <w:vertAlign w:val="superscript"/>
                <w:lang w:eastAsia="el-GR"/>
              </w:rPr>
              <w:t>*</w:t>
            </w:r>
          </w:p>
        </w:tc>
        <w:tc>
          <w:tcPr>
            <w:tcW w:w="186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.203</w:t>
            </w:r>
            <w:r>
              <w:rPr>
                <w:vertAlign w:val="superscript"/>
                <w:lang w:eastAsia="el-GR"/>
              </w:rPr>
              <w:t>*</w:t>
            </w:r>
          </w:p>
        </w:tc>
        <w:tc>
          <w:tcPr>
            <w:tcW w:w="186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.340</w:t>
            </w:r>
            <w:r>
              <w:rPr>
                <w:vertAlign w:val="superscript"/>
                <w:lang w:eastAsia="el-GR"/>
              </w:rPr>
              <w:t>**</w:t>
            </w:r>
          </w:p>
        </w:tc>
      </w:tr>
      <w:tr w:rsidR="001B3514">
        <w:trPr>
          <w:trHeight w:val="281"/>
          <w:jc w:val="center"/>
        </w:trPr>
        <w:tc>
          <w:tcPr>
            <w:tcW w:w="1979"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26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Sig.</w:t>
            </w:r>
          </w:p>
        </w:tc>
        <w:tc>
          <w:tcPr>
            <w:tcW w:w="150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0.027</w:t>
            </w:r>
          </w:p>
        </w:tc>
        <w:tc>
          <w:tcPr>
            <w:tcW w:w="186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0.043</w:t>
            </w:r>
          </w:p>
        </w:tc>
        <w:tc>
          <w:tcPr>
            <w:tcW w:w="186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0.001</w:t>
            </w:r>
          </w:p>
        </w:tc>
      </w:tr>
      <w:tr w:rsidR="001B3514">
        <w:trPr>
          <w:trHeight w:val="281"/>
          <w:jc w:val="center"/>
        </w:trPr>
        <w:tc>
          <w:tcPr>
            <w:tcW w:w="1979"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26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N</w:t>
            </w:r>
          </w:p>
        </w:tc>
        <w:tc>
          <w:tcPr>
            <w:tcW w:w="150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100</w:t>
            </w:r>
          </w:p>
        </w:tc>
        <w:tc>
          <w:tcPr>
            <w:tcW w:w="186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100</w:t>
            </w:r>
          </w:p>
        </w:tc>
        <w:tc>
          <w:tcPr>
            <w:tcW w:w="186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100</w:t>
            </w:r>
          </w:p>
        </w:tc>
      </w:tr>
      <w:tr w:rsidR="001B3514">
        <w:trPr>
          <w:trHeight w:val="281"/>
          <w:jc w:val="center"/>
        </w:trPr>
        <w:tc>
          <w:tcPr>
            <w:tcW w:w="1979"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Πόσο επηρέασε  ο COVID 19 τη θεραπεία σας;</w:t>
            </w:r>
          </w:p>
        </w:tc>
        <w:tc>
          <w:tcPr>
            <w:tcW w:w="126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xml:space="preserve">Correlation </w:t>
            </w:r>
          </w:p>
        </w:tc>
        <w:tc>
          <w:tcPr>
            <w:tcW w:w="1508" w:type="dxa"/>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864" w:type="dxa"/>
            <w:tcBorders>
              <w:top w:val="single" w:sz="4" w:space="0" w:color="000001"/>
              <w:bottom w:val="single" w:sz="4" w:space="0" w:color="000001"/>
            </w:tcBorders>
            <w:shd w:val="clear" w:color="auto" w:fill="auto"/>
            <w:vAlign w:val="center"/>
          </w:tcPr>
          <w:p w:rsidR="001B3514" w:rsidRDefault="001B3514">
            <w:pPr>
              <w:pStyle w:val="ad"/>
              <w:rPr>
                <w:rFonts w:cs="Times New Roman"/>
                <w:sz w:val="20"/>
                <w:szCs w:val="20"/>
                <w:lang w:eastAsia="el-GR"/>
              </w:rPr>
            </w:pPr>
          </w:p>
        </w:tc>
        <w:tc>
          <w:tcPr>
            <w:tcW w:w="186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.234</w:t>
            </w:r>
            <w:r>
              <w:rPr>
                <w:vertAlign w:val="superscript"/>
                <w:lang w:eastAsia="el-GR"/>
              </w:rPr>
              <w:t>*</w:t>
            </w:r>
          </w:p>
        </w:tc>
      </w:tr>
      <w:tr w:rsidR="001B3514">
        <w:trPr>
          <w:trHeight w:val="281"/>
          <w:jc w:val="center"/>
        </w:trPr>
        <w:tc>
          <w:tcPr>
            <w:tcW w:w="1979"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26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Sig.</w:t>
            </w:r>
          </w:p>
        </w:tc>
        <w:tc>
          <w:tcPr>
            <w:tcW w:w="1508" w:type="dxa"/>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864" w:type="dxa"/>
            <w:tcBorders>
              <w:top w:val="single" w:sz="4" w:space="0" w:color="000001"/>
              <w:bottom w:val="single" w:sz="4" w:space="0" w:color="000001"/>
            </w:tcBorders>
            <w:shd w:val="clear" w:color="auto" w:fill="auto"/>
            <w:vAlign w:val="center"/>
          </w:tcPr>
          <w:p w:rsidR="001B3514" w:rsidRDefault="001B3514">
            <w:pPr>
              <w:pStyle w:val="ad"/>
              <w:rPr>
                <w:rFonts w:cs="Times New Roman"/>
                <w:sz w:val="20"/>
                <w:szCs w:val="20"/>
                <w:lang w:eastAsia="el-GR"/>
              </w:rPr>
            </w:pPr>
          </w:p>
        </w:tc>
        <w:tc>
          <w:tcPr>
            <w:tcW w:w="186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0.019</w:t>
            </w:r>
          </w:p>
        </w:tc>
      </w:tr>
      <w:tr w:rsidR="001B3514">
        <w:trPr>
          <w:trHeight w:val="281"/>
          <w:jc w:val="center"/>
        </w:trPr>
        <w:tc>
          <w:tcPr>
            <w:tcW w:w="1979"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26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N</w:t>
            </w:r>
          </w:p>
        </w:tc>
        <w:tc>
          <w:tcPr>
            <w:tcW w:w="150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w:t>
            </w:r>
          </w:p>
        </w:tc>
        <w:tc>
          <w:tcPr>
            <w:tcW w:w="186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w:t>
            </w:r>
          </w:p>
        </w:tc>
        <w:tc>
          <w:tcPr>
            <w:tcW w:w="1864"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100</w:t>
            </w:r>
          </w:p>
        </w:tc>
      </w:tr>
    </w:tbl>
    <w:p w:rsidR="001B3514" w:rsidRDefault="00782E3E">
      <w:pPr>
        <w:rPr>
          <w:lang w:eastAsia="zh-CN" w:bidi="hi-IN"/>
        </w:rPr>
      </w:pPr>
      <w:r>
        <w:rPr>
          <w:lang w:eastAsia="zh-CN" w:bidi="hi-IN"/>
        </w:rPr>
        <w:t>Από τον παραπάνω πίνακα υπάρχει στατιστικώς σημαντική συσχέτιση με θετική κατεύθυνση ανάμεσα στην επίδραση του COVID 19 στην οικογένεια και τη μεταβλητή «Δείκτης ενόχλησης των θετικών συμπτωμάτων (SCL90)» (Sig=0.027&lt;0.05). Όσο μεγαλύτερη είναι η επίδραση του COVID 19 στην οικογένεια του δείγματος τόσο υψηλότερος ο δείκτης ενόχλησης των θετικών συμπτωμάτων του δείγματος. Ακόμη, υπάρχει στατιστικώς σημαντική συσχέτιση με θετική κατεύθυνση ανάμεσα στην επίδραση της πανδημίας στην υγεία του δείγματος και τις μεταβλητές «Γενικός δείκτης συμπτωμάτων (SCL90)» (Sig=0.027&lt;0.05), «Σύνολο των θετικών συμπτωμάτων (SCL90)» (Sig=0.043&lt;0.05) και «Δείκτης ενόχλησης των θετικών συμπτωμάτων (SCL90)» (Sig=0.001&lt;0.05). Αυτό σημαίνει πως όσο περισσότερο η πανδημία επηρεάζει την υγεία του δείγματος τόσο περισσότερα είναι τα συμπτώματα ψυχοπαθολογίας που εμφανίζονται. Τέλος, υπάρχει στατιστικώς σημαντική συσχέτιση ανάμεσα στην επίδραση της πανδημίας στη θεραπεία που ακολουθούν και τη μεταβλητή «Δείκτης ενόχλησης των θετικών συμπτωμάτων (SCL90)» (Sig=0.019&lt;0.05). Πιο αναλυτικά, όσο περισσότερο η πανδημία επηρεάζει τη θεραπεία του δείγματος τόσο μεγαλύτερος είναι ο δείκτης ενόχλησης των θετικών συμπτωμάτων ψυχοπαθολογίας.</w:t>
      </w:r>
    </w:p>
    <w:p w:rsidR="001B3514" w:rsidRDefault="00782E3E">
      <w:pPr>
        <w:spacing w:line="259" w:lineRule="auto"/>
        <w:jc w:val="left"/>
        <w:rPr>
          <w:lang w:eastAsia="zh-CN" w:bidi="hi-IN"/>
        </w:rPr>
      </w:pPr>
      <w:r>
        <w:br w:type="page"/>
      </w:r>
    </w:p>
    <w:p w:rsidR="001B3514" w:rsidRDefault="00782E3E">
      <w:pPr>
        <w:pStyle w:val="aa"/>
        <w:rPr>
          <w:lang w:eastAsia="zh-CN" w:bidi="hi-IN"/>
        </w:rPr>
      </w:pPr>
      <w:bookmarkStart w:id="71" w:name="_Toc64641836"/>
      <w:r>
        <w:lastRenderedPageBreak/>
        <w:t xml:space="preserve">Πίνακας </w:t>
      </w:r>
      <w:r w:rsidR="00B061D7">
        <w:fldChar w:fldCharType="begin"/>
      </w:r>
      <w:r>
        <w:instrText>SEQ Πίνακας \* ARABIC</w:instrText>
      </w:r>
      <w:r w:rsidR="00B061D7">
        <w:fldChar w:fldCharType="separate"/>
      </w:r>
      <w:r w:rsidR="001D06AA">
        <w:rPr>
          <w:noProof/>
        </w:rPr>
        <w:t>29</w:t>
      </w:r>
      <w:r w:rsidR="00B061D7">
        <w:fldChar w:fldCharType="end"/>
      </w:r>
      <w:r>
        <w:t xml:space="preserve"> Αποτελέσματα συσχέτισης της επίδρασης του COVID 19 με την κλίμακα EPQ της έρευνας</w:t>
      </w:r>
      <w:bookmarkEnd w:id="71"/>
    </w:p>
    <w:tbl>
      <w:tblPr>
        <w:tblW w:w="6328" w:type="dxa"/>
        <w:jc w:val="center"/>
        <w:tblBorders>
          <w:top w:val="single" w:sz="4" w:space="0" w:color="000001"/>
          <w:bottom w:val="single" w:sz="4" w:space="0" w:color="000001"/>
          <w:insideH w:val="single" w:sz="4" w:space="0" w:color="000001"/>
        </w:tblBorders>
        <w:tblLook w:val="04A0"/>
      </w:tblPr>
      <w:tblGrid>
        <w:gridCol w:w="1786"/>
        <w:gridCol w:w="1366"/>
        <w:gridCol w:w="1798"/>
        <w:gridCol w:w="1378"/>
      </w:tblGrid>
      <w:tr w:rsidR="001B3514">
        <w:trPr>
          <w:trHeight w:val="909"/>
          <w:jc w:val="center"/>
        </w:trPr>
        <w:tc>
          <w:tcPr>
            <w:tcW w:w="1785"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w:t>
            </w:r>
          </w:p>
        </w:tc>
        <w:tc>
          <w:tcPr>
            <w:tcW w:w="136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w:t>
            </w:r>
          </w:p>
        </w:tc>
        <w:tc>
          <w:tcPr>
            <w:tcW w:w="179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Ψυχωτισμός (EPQ)</w:t>
            </w:r>
          </w:p>
        </w:tc>
        <w:tc>
          <w:tcPr>
            <w:tcW w:w="137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Κλίμακα Ψεύδους (EPQ)</w:t>
            </w:r>
          </w:p>
        </w:tc>
      </w:tr>
      <w:tr w:rsidR="001B3514">
        <w:trPr>
          <w:trHeight w:val="162"/>
          <w:jc w:val="center"/>
        </w:trPr>
        <w:tc>
          <w:tcPr>
            <w:tcW w:w="1785"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Πόσο επηρέασε ο COVID 19 την οικογένειά σας;</w:t>
            </w:r>
          </w:p>
        </w:tc>
        <w:tc>
          <w:tcPr>
            <w:tcW w:w="136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xml:space="preserve">Correlation </w:t>
            </w:r>
          </w:p>
        </w:tc>
        <w:tc>
          <w:tcPr>
            <w:tcW w:w="1798" w:type="dxa"/>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37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-.278</w:t>
            </w:r>
            <w:r>
              <w:rPr>
                <w:vertAlign w:val="superscript"/>
                <w:lang w:eastAsia="el-GR"/>
              </w:rPr>
              <w:t>**</w:t>
            </w:r>
          </w:p>
        </w:tc>
      </w:tr>
      <w:tr w:rsidR="001B3514">
        <w:trPr>
          <w:trHeight w:val="162"/>
          <w:jc w:val="center"/>
        </w:trPr>
        <w:tc>
          <w:tcPr>
            <w:tcW w:w="1785"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36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Sig.</w:t>
            </w:r>
          </w:p>
        </w:tc>
        <w:tc>
          <w:tcPr>
            <w:tcW w:w="1798" w:type="dxa"/>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37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0.005</w:t>
            </w:r>
          </w:p>
        </w:tc>
      </w:tr>
      <w:tr w:rsidR="001B3514">
        <w:trPr>
          <w:trHeight w:val="162"/>
          <w:jc w:val="center"/>
        </w:trPr>
        <w:tc>
          <w:tcPr>
            <w:tcW w:w="1785"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36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N</w:t>
            </w:r>
          </w:p>
        </w:tc>
        <w:tc>
          <w:tcPr>
            <w:tcW w:w="179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w:t>
            </w:r>
          </w:p>
        </w:tc>
        <w:tc>
          <w:tcPr>
            <w:tcW w:w="137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100</w:t>
            </w:r>
          </w:p>
        </w:tc>
      </w:tr>
      <w:tr w:rsidR="001B3514">
        <w:trPr>
          <w:trHeight w:val="162"/>
          <w:jc w:val="center"/>
        </w:trPr>
        <w:tc>
          <w:tcPr>
            <w:tcW w:w="1785"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Πόσο επηρέασε ο COVID 19 γενικά την υγεία σας;</w:t>
            </w:r>
          </w:p>
        </w:tc>
        <w:tc>
          <w:tcPr>
            <w:tcW w:w="136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xml:space="preserve">Correlation </w:t>
            </w:r>
          </w:p>
        </w:tc>
        <w:tc>
          <w:tcPr>
            <w:tcW w:w="179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-.244</w:t>
            </w:r>
            <w:r>
              <w:rPr>
                <w:vertAlign w:val="superscript"/>
                <w:lang w:eastAsia="el-GR"/>
              </w:rPr>
              <w:t>*</w:t>
            </w:r>
          </w:p>
        </w:tc>
        <w:tc>
          <w:tcPr>
            <w:tcW w:w="1378" w:type="dxa"/>
            <w:tcBorders>
              <w:top w:val="single" w:sz="4" w:space="0" w:color="000001"/>
              <w:bottom w:val="single" w:sz="4" w:space="0" w:color="000001"/>
            </w:tcBorders>
            <w:shd w:val="clear" w:color="auto" w:fill="auto"/>
            <w:vAlign w:val="center"/>
          </w:tcPr>
          <w:p w:rsidR="001B3514" w:rsidRDefault="001B3514">
            <w:pPr>
              <w:pStyle w:val="ad"/>
              <w:rPr>
                <w:lang w:eastAsia="el-GR"/>
              </w:rPr>
            </w:pPr>
          </w:p>
        </w:tc>
      </w:tr>
      <w:tr w:rsidR="001B3514">
        <w:trPr>
          <w:trHeight w:val="162"/>
          <w:jc w:val="center"/>
        </w:trPr>
        <w:tc>
          <w:tcPr>
            <w:tcW w:w="1785"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36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Sig.</w:t>
            </w:r>
          </w:p>
        </w:tc>
        <w:tc>
          <w:tcPr>
            <w:tcW w:w="179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0.015</w:t>
            </w:r>
          </w:p>
        </w:tc>
        <w:tc>
          <w:tcPr>
            <w:tcW w:w="1378" w:type="dxa"/>
            <w:tcBorders>
              <w:top w:val="single" w:sz="4" w:space="0" w:color="000001"/>
              <w:bottom w:val="single" w:sz="4" w:space="0" w:color="000001"/>
            </w:tcBorders>
            <w:shd w:val="clear" w:color="auto" w:fill="auto"/>
            <w:vAlign w:val="center"/>
          </w:tcPr>
          <w:p w:rsidR="001B3514" w:rsidRDefault="001B3514">
            <w:pPr>
              <w:pStyle w:val="ad"/>
              <w:rPr>
                <w:lang w:eastAsia="el-GR"/>
              </w:rPr>
            </w:pPr>
          </w:p>
        </w:tc>
      </w:tr>
      <w:tr w:rsidR="001B3514">
        <w:trPr>
          <w:trHeight w:val="162"/>
          <w:jc w:val="center"/>
        </w:trPr>
        <w:tc>
          <w:tcPr>
            <w:tcW w:w="1785"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36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N</w:t>
            </w:r>
          </w:p>
        </w:tc>
        <w:tc>
          <w:tcPr>
            <w:tcW w:w="179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100</w:t>
            </w:r>
          </w:p>
        </w:tc>
        <w:tc>
          <w:tcPr>
            <w:tcW w:w="137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w:t>
            </w:r>
          </w:p>
        </w:tc>
      </w:tr>
      <w:tr w:rsidR="001B3514">
        <w:trPr>
          <w:trHeight w:val="162"/>
          <w:jc w:val="center"/>
        </w:trPr>
        <w:tc>
          <w:tcPr>
            <w:tcW w:w="1785"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Πόσο επηρέασε  ο COVID 19 τη θεραπεία σας;</w:t>
            </w:r>
          </w:p>
        </w:tc>
        <w:tc>
          <w:tcPr>
            <w:tcW w:w="136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xml:space="preserve">Correlation </w:t>
            </w:r>
          </w:p>
        </w:tc>
        <w:tc>
          <w:tcPr>
            <w:tcW w:w="179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-.222</w:t>
            </w:r>
            <w:r>
              <w:rPr>
                <w:vertAlign w:val="superscript"/>
                <w:lang w:eastAsia="el-GR"/>
              </w:rPr>
              <w:t>*</w:t>
            </w:r>
          </w:p>
        </w:tc>
        <w:tc>
          <w:tcPr>
            <w:tcW w:w="1378" w:type="dxa"/>
            <w:tcBorders>
              <w:top w:val="single" w:sz="4" w:space="0" w:color="000001"/>
              <w:bottom w:val="single" w:sz="4" w:space="0" w:color="000001"/>
            </w:tcBorders>
            <w:shd w:val="clear" w:color="auto" w:fill="auto"/>
            <w:vAlign w:val="center"/>
          </w:tcPr>
          <w:p w:rsidR="001B3514" w:rsidRDefault="001B3514">
            <w:pPr>
              <w:pStyle w:val="ad"/>
              <w:rPr>
                <w:lang w:eastAsia="el-GR"/>
              </w:rPr>
            </w:pPr>
          </w:p>
        </w:tc>
      </w:tr>
      <w:tr w:rsidR="001B3514">
        <w:trPr>
          <w:trHeight w:val="162"/>
          <w:jc w:val="center"/>
        </w:trPr>
        <w:tc>
          <w:tcPr>
            <w:tcW w:w="1785"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36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Sig.</w:t>
            </w:r>
          </w:p>
        </w:tc>
        <w:tc>
          <w:tcPr>
            <w:tcW w:w="179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0.026</w:t>
            </w:r>
          </w:p>
        </w:tc>
        <w:tc>
          <w:tcPr>
            <w:tcW w:w="1378" w:type="dxa"/>
            <w:tcBorders>
              <w:top w:val="single" w:sz="4" w:space="0" w:color="000001"/>
              <w:bottom w:val="single" w:sz="4" w:space="0" w:color="000001"/>
            </w:tcBorders>
            <w:shd w:val="clear" w:color="auto" w:fill="auto"/>
            <w:vAlign w:val="center"/>
          </w:tcPr>
          <w:p w:rsidR="001B3514" w:rsidRDefault="001B3514">
            <w:pPr>
              <w:pStyle w:val="ad"/>
              <w:rPr>
                <w:lang w:eastAsia="el-GR"/>
              </w:rPr>
            </w:pPr>
          </w:p>
        </w:tc>
      </w:tr>
      <w:tr w:rsidR="001B3514">
        <w:trPr>
          <w:trHeight w:val="162"/>
          <w:jc w:val="center"/>
        </w:trPr>
        <w:tc>
          <w:tcPr>
            <w:tcW w:w="1785"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36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N</w:t>
            </w:r>
          </w:p>
        </w:tc>
        <w:tc>
          <w:tcPr>
            <w:tcW w:w="179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100</w:t>
            </w:r>
          </w:p>
        </w:tc>
        <w:tc>
          <w:tcPr>
            <w:tcW w:w="137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w:t>
            </w:r>
          </w:p>
        </w:tc>
      </w:tr>
      <w:tr w:rsidR="001B3514">
        <w:trPr>
          <w:trHeight w:val="162"/>
          <w:jc w:val="center"/>
        </w:trPr>
        <w:tc>
          <w:tcPr>
            <w:tcW w:w="1785"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Πόσο επηρέασε  ο COVID 19 την υπέρτασή σας;</w:t>
            </w:r>
          </w:p>
        </w:tc>
        <w:tc>
          <w:tcPr>
            <w:tcW w:w="136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xml:space="preserve">Correlation </w:t>
            </w:r>
          </w:p>
        </w:tc>
        <w:tc>
          <w:tcPr>
            <w:tcW w:w="1798" w:type="dxa"/>
            <w:tcBorders>
              <w:top w:val="single" w:sz="4" w:space="0" w:color="000001"/>
              <w:bottom w:val="single" w:sz="4" w:space="0" w:color="000001"/>
            </w:tcBorders>
            <w:shd w:val="clear" w:color="auto" w:fill="auto"/>
            <w:vAlign w:val="center"/>
          </w:tcPr>
          <w:p w:rsidR="001B3514" w:rsidRDefault="001B3514">
            <w:pPr>
              <w:pStyle w:val="ad"/>
              <w:rPr>
                <w:rFonts w:cs="Times New Roman"/>
                <w:sz w:val="20"/>
                <w:szCs w:val="20"/>
                <w:lang w:eastAsia="el-GR"/>
              </w:rPr>
            </w:pPr>
          </w:p>
        </w:tc>
        <w:tc>
          <w:tcPr>
            <w:tcW w:w="137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-.217</w:t>
            </w:r>
            <w:r>
              <w:rPr>
                <w:vertAlign w:val="superscript"/>
                <w:lang w:eastAsia="el-GR"/>
              </w:rPr>
              <w:t>*</w:t>
            </w:r>
          </w:p>
        </w:tc>
      </w:tr>
      <w:tr w:rsidR="001B3514">
        <w:trPr>
          <w:trHeight w:val="162"/>
          <w:jc w:val="center"/>
        </w:trPr>
        <w:tc>
          <w:tcPr>
            <w:tcW w:w="1785"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36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Sig.</w:t>
            </w:r>
          </w:p>
        </w:tc>
        <w:tc>
          <w:tcPr>
            <w:tcW w:w="1798" w:type="dxa"/>
            <w:tcBorders>
              <w:top w:val="single" w:sz="4" w:space="0" w:color="000001"/>
              <w:bottom w:val="single" w:sz="4" w:space="0" w:color="000001"/>
            </w:tcBorders>
            <w:shd w:val="clear" w:color="auto" w:fill="auto"/>
            <w:vAlign w:val="center"/>
          </w:tcPr>
          <w:p w:rsidR="001B3514" w:rsidRDefault="001B3514">
            <w:pPr>
              <w:pStyle w:val="ad"/>
              <w:rPr>
                <w:rFonts w:cs="Times New Roman"/>
                <w:sz w:val="20"/>
                <w:szCs w:val="20"/>
                <w:lang w:eastAsia="el-GR"/>
              </w:rPr>
            </w:pPr>
          </w:p>
        </w:tc>
        <w:tc>
          <w:tcPr>
            <w:tcW w:w="137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0.030</w:t>
            </w:r>
          </w:p>
        </w:tc>
      </w:tr>
      <w:tr w:rsidR="001B3514">
        <w:trPr>
          <w:trHeight w:val="162"/>
          <w:jc w:val="center"/>
        </w:trPr>
        <w:tc>
          <w:tcPr>
            <w:tcW w:w="1785"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36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N</w:t>
            </w:r>
          </w:p>
        </w:tc>
        <w:tc>
          <w:tcPr>
            <w:tcW w:w="179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w:t>
            </w:r>
          </w:p>
        </w:tc>
        <w:tc>
          <w:tcPr>
            <w:tcW w:w="1378"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100</w:t>
            </w:r>
          </w:p>
        </w:tc>
      </w:tr>
    </w:tbl>
    <w:p w:rsidR="001B3514" w:rsidRDefault="00782E3E">
      <w:pPr>
        <w:rPr>
          <w:lang w:eastAsia="zh-CN" w:bidi="hi-IN"/>
        </w:rPr>
      </w:pPr>
      <w:r>
        <w:rPr>
          <w:lang w:eastAsia="zh-CN" w:bidi="hi-IN"/>
        </w:rPr>
        <w:t>Αναφορικά με τον παραπάνω πίνακα υπάρχει στατιστικώς σημαντική συσχέτιση με αρνητική κατεύθυνση ανάμεσα στον ψυχωτισμό και τις μεταβλητές που εκφράζουν την επίδραση της πανδημίας στην υγεία (Sig=0.015&lt;0.05) και στη θεραπεία (Sig=0.026&lt;0.05) του δείγματος. Αυτό σημαίνει πως όσο μεγαλύτερη είναι η επίδραση της πανδημίας στην υγεία και τη θεραπεία των ασθενών του δείγματος τόσο μικρότερος είναι ο ψυχωτισμός που εκδηλώνουν. Επιπλέον, υπάρχει στατιστικώς σημαντική συσχέτιση με αρνητική κατεύθυνση ανάμεσα στην κλίμακα ψεύδους και τις μεταβλητές που εκφράζουν την επίδραση της πανδημίας στην οικογένεια του δείγματος (Sig=0.005&lt;0.05) και την επίδραση της πανδημίας στο πρόβλημα υπέρτασης του δείγματος (Sig=0.030&lt;0.05). Όσο περισσότερο επηρέασε η πανδημία την οικογένεια και την υπέρταση των ασθενών του δείγματος τόσο μικρότερη είναι η τιμή της κλίμακας ψεύδους.</w:t>
      </w:r>
    </w:p>
    <w:p w:rsidR="001B3514" w:rsidRDefault="001B3514">
      <w:pPr>
        <w:rPr>
          <w:lang w:eastAsia="zh-CN" w:bidi="hi-IN"/>
        </w:rPr>
      </w:pPr>
    </w:p>
    <w:p w:rsidR="001B3514" w:rsidRDefault="00782E3E">
      <w:pPr>
        <w:pStyle w:val="aa"/>
        <w:rPr>
          <w:lang w:eastAsia="zh-CN" w:bidi="hi-IN"/>
        </w:rPr>
      </w:pPr>
      <w:bookmarkStart w:id="72" w:name="_Toc64641837"/>
      <w:r>
        <w:t xml:space="preserve">Πίνακας </w:t>
      </w:r>
      <w:r w:rsidR="00B061D7">
        <w:fldChar w:fldCharType="begin"/>
      </w:r>
      <w:r>
        <w:instrText>SEQ Πίνακας \* ARABIC</w:instrText>
      </w:r>
      <w:r w:rsidR="00B061D7">
        <w:fldChar w:fldCharType="separate"/>
      </w:r>
      <w:r w:rsidR="001D06AA">
        <w:rPr>
          <w:noProof/>
        </w:rPr>
        <w:t>30</w:t>
      </w:r>
      <w:r w:rsidR="00B061D7">
        <w:fldChar w:fldCharType="end"/>
      </w:r>
      <w:r>
        <w:t xml:space="preserve"> Αποτελέσματα συσχέτισης των επιμέρους κλιμάκων της έρευνας</w:t>
      </w:r>
      <w:bookmarkEnd w:id="72"/>
    </w:p>
    <w:tbl>
      <w:tblPr>
        <w:tblW w:w="6506" w:type="dxa"/>
        <w:jc w:val="center"/>
        <w:tblBorders>
          <w:top w:val="single" w:sz="4" w:space="0" w:color="000001"/>
          <w:bottom w:val="single" w:sz="4" w:space="0" w:color="000001"/>
          <w:insideH w:val="single" w:sz="4" w:space="0" w:color="000001"/>
        </w:tblBorders>
        <w:tblLook w:val="04A0"/>
      </w:tblPr>
      <w:tblGrid>
        <w:gridCol w:w="1526"/>
        <w:gridCol w:w="1332"/>
        <w:gridCol w:w="1173"/>
        <w:gridCol w:w="1223"/>
        <w:gridCol w:w="1252"/>
      </w:tblGrid>
      <w:tr w:rsidR="001B3514">
        <w:trPr>
          <w:trHeight w:val="1208"/>
          <w:jc w:val="center"/>
        </w:trPr>
        <w:tc>
          <w:tcPr>
            <w:tcW w:w="1526"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w:t>
            </w:r>
          </w:p>
        </w:tc>
        <w:tc>
          <w:tcPr>
            <w:tcW w:w="133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w:t>
            </w:r>
          </w:p>
        </w:tc>
        <w:tc>
          <w:tcPr>
            <w:tcW w:w="117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xml:space="preserve">Οι απόψεις σας για τα φάρμακα γενικά </w:t>
            </w:r>
            <w:r>
              <w:rPr>
                <w:lang w:eastAsia="el-GR"/>
              </w:rPr>
              <w:lastRenderedPageBreak/>
              <w:t>(BMQ12 General)</w:t>
            </w:r>
          </w:p>
        </w:tc>
        <w:tc>
          <w:tcPr>
            <w:tcW w:w="122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lastRenderedPageBreak/>
              <w:t xml:space="preserve">Οι απόψεις σας για τα φάρμακα που σας έγραψαν </w:t>
            </w:r>
            <w:r>
              <w:rPr>
                <w:lang w:eastAsia="el-GR"/>
              </w:rPr>
              <w:lastRenderedPageBreak/>
              <w:t>οι γιατροί σας (BMQ10)</w:t>
            </w:r>
          </w:p>
        </w:tc>
        <w:tc>
          <w:tcPr>
            <w:tcW w:w="125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lastRenderedPageBreak/>
              <w:t>Morisky scale (MMAS8)</w:t>
            </w:r>
          </w:p>
        </w:tc>
      </w:tr>
      <w:tr w:rsidR="001B3514">
        <w:trPr>
          <w:trHeight w:val="215"/>
          <w:jc w:val="center"/>
        </w:trPr>
        <w:tc>
          <w:tcPr>
            <w:tcW w:w="1526"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lastRenderedPageBreak/>
              <w:t>Εξωστρέφεια (EPQ)</w:t>
            </w:r>
          </w:p>
        </w:tc>
        <w:tc>
          <w:tcPr>
            <w:tcW w:w="133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xml:space="preserve">Correlation </w:t>
            </w:r>
          </w:p>
        </w:tc>
        <w:tc>
          <w:tcPr>
            <w:tcW w:w="117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.266</w:t>
            </w:r>
            <w:r>
              <w:rPr>
                <w:vertAlign w:val="superscript"/>
                <w:lang w:eastAsia="el-GR"/>
              </w:rPr>
              <w:t>**</w:t>
            </w:r>
          </w:p>
        </w:tc>
        <w:tc>
          <w:tcPr>
            <w:tcW w:w="122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.213</w:t>
            </w:r>
            <w:r>
              <w:rPr>
                <w:vertAlign w:val="superscript"/>
                <w:lang w:eastAsia="el-GR"/>
              </w:rPr>
              <w:t>*</w:t>
            </w:r>
          </w:p>
        </w:tc>
        <w:tc>
          <w:tcPr>
            <w:tcW w:w="125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-.229</w:t>
            </w:r>
            <w:r>
              <w:rPr>
                <w:vertAlign w:val="superscript"/>
                <w:lang w:eastAsia="el-GR"/>
              </w:rPr>
              <w:t>*</w:t>
            </w:r>
          </w:p>
        </w:tc>
      </w:tr>
      <w:tr w:rsidR="001B3514">
        <w:trPr>
          <w:trHeight w:val="215"/>
          <w:jc w:val="center"/>
        </w:trPr>
        <w:tc>
          <w:tcPr>
            <w:tcW w:w="1526"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33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Sig.</w:t>
            </w:r>
          </w:p>
        </w:tc>
        <w:tc>
          <w:tcPr>
            <w:tcW w:w="117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0.008</w:t>
            </w:r>
          </w:p>
        </w:tc>
        <w:tc>
          <w:tcPr>
            <w:tcW w:w="122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0.033</w:t>
            </w:r>
          </w:p>
        </w:tc>
        <w:tc>
          <w:tcPr>
            <w:tcW w:w="125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0.022</w:t>
            </w:r>
          </w:p>
        </w:tc>
      </w:tr>
      <w:tr w:rsidR="001B3514">
        <w:trPr>
          <w:trHeight w:val="215"/>
          <w:jc w:val="center"/>
        </w:trPr>
        <w:tc>
          <w:tcPr>
            <w:tcW w:w="1526"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33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N</w:t>
            </w:r>
          </w:p>
        </w:tc>
        <w:tc>
          <w:tcPr>
            <w:tcW w:w="117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100</w:t>
            </w:r>
          </w:p>
        </w:tc>
        <w:tc>
          <w:tcPr>
            <w:tcW w:w="1223"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100</w:t>
            </w:r>
          </w:p>
        </w:tc>
        <w:tc>
          <w:tcPr>
            <w:tcW w:w="125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100</w:t>
            </w:r>
          </w:p>
        </w:tc>
      </w:tr>
    </w:tbl>
    <w:p w:rsidR="001B3514" w:rsidRDefault="00782E3E">
      <w:pPr>
        <w:rPr>
          <w:lang w:eastAsia="zh-CN" w:bidi="hi-IN"/>
        </w:rPr>
      </w:pPr>
      <w:r>
        <w:rPr>
          <w:lang w:eastAsia="zh-CN" w:bidi="hi-IN"/>
        </w:rPr>
        <w:t>Σύμφωνα με τον παραπάνω πίνακα υπάρχει στατιστικώς σημαντική συσχέτιση ανάμεσα στην Εξωστρέφεια και τις μεταβλητές «Οι απόψεις σας για τα φάρμακα γενικά (BMQ12 General)» (Sig=0.008&lt;0.05), «Οι απόψεις σας για τα φάρμακα που σας έγραψαν οι γιατροί σας (BMQ10)» (Sig=0.033&lt;0.05) και «Morisky scale (MMAS8)» (Sig=0.022&lt;0.05). Όσο μεγαλύτερη η εξωστρέφεια του δείγματος τόσο καλύτερη η άποψη του δείγματος για τα φάρμακα και τόσο μικρότερη η τιμή της κλίμακας Morisky scale του δείγματος.</w:t>
      </w:r>
    </w:p>
    <w:p w:rsidR="001B3514" w:rsidRDefault="001B3514">
      <w:pPr>
        <w:rPr>
          <w:lang w:eastAsia="zh-CN" w:bidi="hi-IN"/>
        </w:rPr>
      </w:pPr>
    </w:p>
    <w:p w:rsidR="001B3514" w:rsidRDefault="00782E3E">
      <w:pPr>
        <w:pStyle w:val="aa"/>
        <w:rPr>
          <w:lang w:eastAsia="zh-CN" w:bidi="hi-IN"/>
        </w:rPr>
      </w:pPr>
      <w:bookmarkStart w:id="73" w:name="_Toc64641838"/>
      <w:r>
        <w:t xml:space="preserve">Πίνακας </w:t>
      </w:r>
      <w:r w:rsidR="00B061D7">
        <w:fldChar w:fldCharType="begin"/>
      </w:r>
      <w:r>
        <w:instrText>SEQ Πίνακας \* ARABIC</w:instrText>
      </w:r>
      <w:r w:rsidR="00B061D7">
        <w:fldChar w:fldCharType="separate"/>
      </w:r>
      <w:r w:rsidR="001D06AA">
        <w:rPr>
          <w:noProof/>
        </w:rPr>
        <w:t>31</w:t>
      </w:r>
      <w:r w:rsidR="00B061D7">
        <w:fldChar w:fldCharType="end"/>
      </w:r>
      <w:r>
        <w:t xml:space="preserve"> Αποτελέσματα συσχέτισης των επιμέρους κλιμάκων της έρευνας</w:t>
      </w:r>
      <w:bookmarkEnd w:id="73"/>
    </w:p>
    <w:tbl>
      <w:tblPr>
        <w:tblW w:w="7239" w:type="dxa"/>
        <w:jc w:val="center"/>
        <w:tblBorders>
          <w:top w:val="single" w:sz="4" w:space="0" w:color="000001"/>
          <w:bottom w:val="single" w:sz="4" w:space="0" w:color="000001"/>
          <w:insideH w:val="single" w:sz="4" w:space="0" w:color="000001"/>
        </w:tblBorders>
        <w:tblLook w:val="04A0"/>
      </w:tblPr>
      <w:tblGrid>
        <w:gridCol w:w="1521"/>
        <w:gridCol w:w="1310"/>
        <w:gridCol w:w="1586"/>
        <w:gridCol w:w="1586"/>
        <w:gridCol w:w="1586"/>
      </w:tblGrid>
      <w:tr w:rsidR="001B3514">
        <w:trPr>
          <w:trHeight w:val="1099"/>
          <w:jc w:val="center"/>
        </w:trPr>
        <w:tc>
          <w:tcPr>
            <w:tcW w:w="145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val="en-US" w:eastAsia="el-GR"/>
              </w:rPr>
              <w:t> </w:t>
            </w:r>
          </w:p>
        </w:tc>
        <w:tc>
          <w:tcPr>
            <w:tcW w:w="125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val="en-US" w:eastAsia="el-GR"/>
              </w:rPr>
              <w:t> </w:t>
            </w:r>
          </w:p>
        </w:tc>
        <w:tc>
          <w:tcPr>
            <w:tcW w:w="151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Γενικός δείκτης συμπτωμάτων (SCL90)</w:t>
            </w:r>
          </w:p>
        </w:tc>
        <w:tc>
          <w:tcPr>
            <w:tcW w:w="151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Σύνολο των θετικών συμπτωμάτων (SCL90)</w:t>
            </w:r>
          </w:p>
        </w:tc>
        <w:tc>
          <w:tcPr>
            <w:tcW w:w="151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Δείκτης ενόχλησης των θετικών συμπτωμάτων (SCL90)</w:t>
            </w:r>
          </w:p>
        </w:tc>
      </w:tr>
      <w:tr w:rsidR="001B3514">
        <w:trPr>
          <w:trHeight w:val="195"/>
          <w:jc w:val="center"/>
        </w:trPr>
        <w:tc>
          <w:tcPr>
            <w:tcW w:w="1452"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Εξωστρέφεια (EPQ)</w:t>
            </w:r>
          </w:p>
        </w:tc>
        <w:tc>
          <w:tcPr>
            <w:tcW w:w="125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xml:space="preserve">Correlation </w:t>
            </w:r>
          </w:p>
        </w:tc>
        <w:tc>
          <w:tcPr>
            <w:tcW w:w="151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.341</w:t>
            </w:r>
            <w:r>
              <w:rPr>
                <w:vertAlign w:val="superscript"/>
                <w:lang w:eastAsia="el-GR"/>
              </w:rPr>
              <w:t>**</w:t>
            </w:r>
          </w:p>
        </w:tc>
        <w:tc>
          <w:tcPr>
            <w:tcW w:w="151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.372</w:t>
            </w:r>
            <w:r>
              <w:rPr>
                <w:vertAlign w:val="superscript"/>
                <w:lang w:eastAsia="el-GR"/>
              </w:rPr>
              <w:t>**</w:t>
            </w:r>
          </w:p>
        </w:tc>
        <w:tc>
          <w:tcPr>
            <w:tcW w:w="1512" w:type="dxa"/>
            <w:tcBorders>
              <w:top w:val="single" w:sz="4" w:space="0" w:color="000001"/>
              <w:bottom w:val="single" w:sz="4" w:space="0" w:color="000001"/>
            </w:tcBorders>
            <w:shd w:val="clear" w:color="auto" w:fill="auto"/>
            <w:vAlign w:val="center"/>
          </w:tcPr>
          <w:p w:rsidR="001B3514" w:rsidRDefault="001B3514">
            <w:pPr>
              <w:pStyle w:val="ad"/>
              <w:rPr>
                <w:lang w:eastAsia="el-GR"/>
              </w:rPr>
            </w:pPr>
          </w:p>
        </w:tc>
      </w:tr>
      <w:tr w:rsidR="001B3514">
        <w:trPr>
          <w:trHeight w:val="195"/>
          <w:jc w:val="center"/>
        </w:trPr>
        <w:tc>
          <w:tcPr>
            <w:tcW w:w="1452"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25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Sig.</w:t>
            </w:r>
          </w:p>
        </w:tc>
        <w:tc>
          <w:tcPr>
            <w:tcW w:w="151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0.001</w:t>
            </w:r>
          </w:p>
        </w:tc>
        <w:tc>
          <w:tcPr>
            <w:tcW w:w="151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0.000</w:t>
            </w:r>
          </w:p>
        </w:tc>
        <w:tc>
          <w:tcPr>
            <w:tcW w:w="1512" w:type="dxa"/>
            <w:tcBorders>
              <w:top w:val="single" w:sz="4" w:space="0" w:color="000001"/>
              <w:bottom w:val="single" w:sz="4" w:space="0" w:color="000001"/>
            </w:tcBorders>
            <w:shd w:val="clear" w:color="auto" w:fill="auto"/>
            <w:vAlign w:val="center"/>
          </w:tcPr>
          <w:p w:rsidR="001B3514" w:rsidRDefault="001B3514">
            <w:pPr>
              <w:pStyle w:val="ad"/>
              <w:rPr>
                <w:lang w:eastAsia="el-GR"/>
              </w:rPr>
            </w:pPr>
          </w:p>
        </w:tc>
      </w:tr>
      <w:tr w:rsidR="001B3514">
        <w:trPr>
          <w:trHeight w:val="195"/>
          <w:jc w:val="center"/>
        </w:trPr>
        <w:tc>
          <w:tcPr>
            <w:tcW w:w="1452"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25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N</w:t>
            </w:r>
          </w:p>
        </w:tc>
        <w:tc>
          <w:tcPr>
            <w:tcW w:w="151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100</w:t>
            </w:r>
          </w:p>
        </w:tc>
        <w:tc>
          <w:tcPr>
            <w:tcW w:w="151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100</w:t>
            </w:r>
          </w:p>
        </w:tc>
        <w:tc>
          <w:tcPr>
            <w:tcW w:w="151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w:t>
            </w:r>
          </w:p>
        </w:tc>
      </w:tr>
      <w:tr w:rsidR="001B3514">
        <w:trPr>
          <w:trHeight w:val="195"/>
          <w:jc w:val="center"/>
        </w:trPr>
        <w:tc>
          <w:tcPr>
            <w:tcW w:w="1452"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Νευρωτισμός (EPQ)</w:t>
            </w:r>
          </w:p>
        </w:tc>
        <w:tc>
          <w:tcPr>
            <w:tcW w:w="125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xml:space="preserve">Correlation </w:t>
            </w:r>
          </w:p>
        </w:tc>
        <w:tc>
          <w:tcPr>
            <w:tcW w:w="151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-.627</w:t>
            </w:r>
            <w:r>
              <w:rPr>
                <w:vertAlign w:val="superscript"/>
                <w:lang w:eastAsia="el-GR"/>
              </w:rPr>
              <w:t>**</w:t>
            </w:r>
          </w:p>
        </w:tc>
        <w:tc>
          <w:tcPr>
            <w:tcW w:w="151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-.660</w:t>
            </w:r>
            <w:r>
              <w:rPr>
                <w:vertAlign w:val="superscript"/>
                <w:lang w:eastAsia="el-GR"/>
              </w:rPr>
              <w:t>**</w:t>
            </w:r>
          </w:p>
        </w:tc>
        <w:tc>
          <w:tcPr>
            <w:tcW w:w="151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-.239</w:t>
            </w:r>
            <w:r>
              <w:rPr>
                <w:vertAlign w:val="superscript"/>
                <w:lang w:eastAsia="el-GR"/>
              </w:rPr>
              <w:t>*</w:t>
            </w:r>
          </w:p>
        </w:tc>
      </w:tr>
      <w:tr w:rsidR="001B3514">
        <w:trPr>
          <w:trHeight w:val="195"/>
          <w:jc w:val="center"/>
        </w:trPr>
        <w:tc>
          <w:tcPr>
            <w:tcW w:w="1452"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25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Sig.</w:t>
            </w:r>
          </w:p>
        </w:tc>
        <w:tc>
          <w:tcPr>
            <w:tcW w:w="151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0.000</w:t>
            </w:r>
          </w:p>
        </w:tc>
        <w:tc>
          <w:tcPr>
            <w:tcW w:w="151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0.000</w:t>
            </w:r>
          </w:p>
        </w:tc>
        <w:tc>
          <w:tcPr>
            <w:tcW w:w="151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0.016</w:t>
            </w:r>
          </w:p>
        </w:tc>
      </w:tr>
      <w:tr w:rsidR="001B3514">
        <w:trPr>
          <w:trHeight w:val="195"/>
          <w:jc w:val="center"/>
        </w:trPr>
        <w:tc>
          <w:tcPr>
            <w:tcW w:w="1452"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25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N</w:t>
            </w:r>
          </w:p>
        </w:tc>
        <w:tc>
          <w:tcPr>
            <w:tcW w:w="151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100</w:t>
            </w:r>
          </w:p>
        </w:tc>
        <w:tc>
          <w:tcPr>
            <w:tcW w:w="151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100</w:t>
            </w:r>
          </w:p>
        </w:tc>
        <w:tc>
          <w:tcPr>
            <w:tcW w:w="151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100</w:t>
            </w:r>
          </w:p>
        </w:tc>
      </w:tr>
      <w:tr w:rsidR="001B3514">
        <w:trPr>
          <w:trHeight w:val="195"/>
          <w:jc w:val="center"/>
        </w:trPr>
        <w:tc>
          <w:tcPr>
            <w:tcW w:w="1452" w:type="dxa"/>
            <w:vMerge w:val="restart"/>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Κλίμακα Ψεύδους (EPQ)</w:t>
            </w:r>
          </w:p>
        </w:tc>
        <w:tc>
          <w:tcPr>
            <w:tcW w:w="125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xml:space="preserve">Correlation </w:t>
            </w:r>
          </w:p>
        </w:tc>
        <w:tc>
          <w:tcPr>
            <w:tcW w:w="151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-.242</w:t>
            </w:r>
            <w:r>
              <w:rPr>
                <w:vertAlign w:val="superscript"/>
                <w:lang w:eastAsia="el-GR"/>
              </w:rPr>
              <w:t>*</w:t>
            </w:r>
          </w:p>
        </w:tc>
        <w:tc>
          <w:tcPr>
            <w:tcW w:w="151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-.246</w:t>
            </w:r>
            <w:r>
              <w:rPr>
                <w:vertAlign w:val="superscript"/>
                <w:lang w:eastAsia="el-GR"/>
              </w:rPr>
              <w:t>*</w:t>
            </w:r>
          </w:p>
        </w:tc>
        <w:tc>
          <w:tcPr>
            <w:tcW w:w="1512" w:type="dxa"/>
            <w:tcBorders>
              <w:top w:val="single" w:sz="4" w:space="0" w:color="000001"/>
              <w:bottom w:val="single" w:sz="4" w:space="0" w:color="000001"/>
            </w:tcBorders>
            <w:shd w:val="clear" w:color="auto" w:fill="auto"/>
            <w:vAlign w:val="center"/>
          </w:tcPr>
          <w:p w:rsidR="001B3514" w:rsidRDefault="001B3514">
            <w:pPr>
              <w:pStyle w:val="ad"/>
              <w:rPr>
                <w:lang w:eastAsia="el-GR"/>
              </w:rPr>
            </w:pPr>
          </w:p>
        </w:tc>
      </w:tr>
      <w:tr w:rsidR="001B3514">
        <w:trPr>
          <w:trHeight w:val="195"/>
          <w:jc w:val="center"/>
        </w:trPr>
        <w:tc>
          <w:tcPr>
            <w:tcW w:w="1452"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25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Sig.</w:t>
            </w:r>
          </w:p>
        </w:tc>
        <w:tc>
          <w:tcPr>
            <w:tcW w:w="151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0.015</w:t>
            </w:r>
          </w:p>
        </w:tc>
        <w:tc>
          <w:tcPr>
            <w:tcW w:w="151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0.013</w:t>
            </w:r>
          </w:p>
        </w:tc>
        <w:tc>
          <w:tcPr>
            <w:tcW w:w="1512" w:type="dxa"/>
            <w:tcBorders>
              <w:top w:val="single" w:sz="4" w:space="0" w:color="000001"/>
              <w:bottom w:val="single" w:sz="4" w:space="0" w:color="000001"/>
            </w:tcBorders>
            <w:shd w:val="clear" w:color="auto" w:fill="auto"/>
            <w:vAlign w:val="center"/>
          </w:tcPr>
          <w:p w:rsidR="001B3514" w:rsidRDefault="001B3514">
            <w:pPr>
              <w:pStyle w:val="ad"/>
              <w:rPr>
                <w:lang w:eastAsia="el-GR"/>
              </w:rPr>
            </w:pPr>
          </w:p>
        </w:tc>
      </w:tr>
      <w:tr w:rsidR="001B3514">
        <w:trPr>
          <w:trHeight w:val="195"/>
          <w:jc w:val="center"/>
        </w:trPr>
        <w:tc>
          <w:tcPr>
            <w:tcW w:w="1452" w:type="dxa"/>
            <w:vMerge/>
            <w:tcBorders>
              <w:top w:val="single" w:sz="4" w:space="0" w:color="000001"/>
              <w:bottom w:val="single" w:sz="4" w:space="0" w:color="000001"/>
            </w:tcBorders>
            <w:shd w:val="clear" w:color="auto" w:fill="auto"/>
            <w:vAlign w:val="center"/>
          </w:tcPr>
          <w:p w:rsidR="001B3514" w:rsidRDefault="001B3514">
            <w:pPr>
              <w:pStyle w:val="ad"/>
              <w:rPr>
                <w:lang w:eastAsia="el-GR"/>
              </w:rPr>
            </w:pPr>
          </w:p>
        </w:tc>
        <w:tc>
          <w:tcPr>
            <w:tcW w:w="1251"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N</w:t>
            </w:r>
          </w:p>
        </w:tc>
        <w:tc>
          <w:tcPr>
            <w:tcW w:w="151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100</w:t>
            </w:r>
          </w:p>
        </w:tc>
        <w:tc>
          <w:tcPr>
            <w:tcW w:w="151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100</w:t>
            </w:r>
          </w:p>
        </w:tc>
        <w:tc>
          <w:tcPr>
            <w:tcW w:w="1512" w:type="dxa"/>
            <w:tcBorders>
              <w:top w:val="single" w:sz="4" w:space="0" w:color="000001"/>
              <w:bottom w:val="single" w:sz="4" w:space="0" w:color="000001"/>
            </w:tcBorders>
            <w:shd w:val="clear" w:color="auto" w:fill="auto"/>
            <w:vAlign w:val="center"/>
          </w:tcPr>
          <w:p w:rsidR="001B3514" w:rsidRDefault="00782E3E">
            <w:pPr>
              <w:pStyle w:val="ad"/>
              <w:rPr>
                <w:lang w:eastAsia="el-GR"/>
              </w:rPr>
            </w:pPr>
            <w:r>
              <w:rPr>
                <w:lang w:eastAsia="el-GR"/>
              </w:rPr>
              <w:t> </w:t>
            </w:r>
          </w:p>
        </w:tc>
      </w:tr>
    </w:tbl>
    <w:p w:rsidR="001B3514" w:rsidRDefault="00782E3E">
      <w:pPr>
        <w:rPr>
          <w:lang w:eastAsia="zh-CN" w:bidi="hi-IN"/>
        </w:rPr>
      </w:pPr>
      <w:r>
        <w:rPr>
          <w:lang w:eastAsia="zh-CN" w:bidi="hi-IN"/>
        </w:rPr>
        <w:t xml:space="preserve">Από τον παραπάνω πίνακα φαίνεται πως υπάρχει στατιστικώς σημαντική συσχέτιση ανάμεσα στις μεταβλητές της κλίμακας EPQ και τις μεταβλητές της κλίμακας SCL90 (Sig&lt;0.05). Αυτό σημαίνει πως όσο περισσότερο αυξάνει η εξωστρέφεια τόσο μεγαλύτερος είναι ο γενικός δείκτης συμπτωμάτων ψυχοπαθολογίας και το σύνολο των θετικών συμπτωμάτων. Ακόμη, όσο αυξάνει ο νευρωτισμός του δείγματος τόσο μειώνονται οι δείκτες συμπτωμάτων και θετικών συμπτωμάτων ψυχοπαθολογίας. Τέλος, όσο αυξάνει η τιμή της κλίμακας ψεύδους τόσο </w:t>
      </w:r>
      <w:r>
        <w:rPr>
          <w:lang w:eastAsia="zh-CN" w:bidi="hi-IN"/>
        </w:rPr>
        <w:lastRenderedPageBreak/>
        <w:t>μικρότερο είναι το σύνολο των θετικών συμπτωμάτων ψυχοπαθολογίας του ατόμου και τόσο μικρότερος είναι ο γενικός δείκτης συμπτωμάτων ψυχοπαθολογίας.</w:t>
      </w:r>
    </w:p>
    <w:p w:rsidR="001B3514" w:rsidRDefault="001B3514">
      <w:pPr>
        <w:rPr>
          <w:lang w:eastAsia="zh-CN" w:bidi="hi-IN"/>
        </w:rPr>
      </w:pPr>
      <w:bookmarkStart w:id="74" w:name="_Hlk64452498"/>
      <w:bookmarkEnd w:id="74"/>
    </w:p>
    <w:p w:rsidR="001B3514" w:rsidRDefault="001B3514">
      <w:pPr>
        <w:rPr>
          <w:lang w:eastAsia="zh-CN" w:bidi="hi-IN"/>
        </w:rPr>
      </w:pPr>
    </w:p>
    <w:p w:rsidR="001B3514" w:rsidRDefault="00782E3E">
      <w:pPr>
        <w:spacing w:line="259" w:lineRule="auto"/>
        <w:jc w:val="left"/>
        <w:rPr>
          <w:rFonts w:eastAsiaTheme="majorEastAsia" w:cstheme="majorBidi"/>
          <w:b/>
          <w:sz w:val="32"/>
          <w:szCs w:val="32"/>
          <w:lang w:eastAsia="zh-CN" w:bidi="hi-IN"/>
        </w:rPr>
      </w:pPr>
      <w:r>
        <w:br w:type="page"/>
      </w:r>
    </w:p>
    <w:p w:rsidR="001B3514" w:rsidRDefault="00782E3E">
      <w:pPr>
        <w:pStyle w:val="1"/>
        <w:rPr>
          <w:lang w:bidi="hi-IN"/>
        </w:rPr>
      </w:pPr>
      <w:bookmarkStart w:id="75" w:name="_Toc64641776"/>
      <w:r>
        <w:lastRenderedPageBreak/>
        <w:t xml:space="preserve">7. </w:t>
      </w:r>
      <w:r>
        <w:rPr>
          <w:lang w:bidi="hi-IN"/>
        </w:rPr>
        <w:t>Συζήτηση- συμπεράσματα</w:t>
      </w:r>
      <w:bookmarkEnd w:id="75"/>
    </w:p>
    <w:p w:rsidR="001B3514" w:rsidRDefault="00782E3E">
      <w:pPr>
        <w:pStyle w:val="2"/>
        <w:rPr>
          <w:lang w:bidi="hi-IN"/>
        </w:rPr>
      </w:pPr>
      <w:bookmarkStart w:id="76" w:name="_Toc64641777"/>
      <w:r>
        <w:rPr>
          <w:lang w:bidi="hi-IN"/>
        </w:rPr>
        <w:t>7.1 Συζήτηση</w:t>
      </w:r>
      <w:bookmarkEnd w:id="76"/>
    </w:p>
    <w:p w:rsidR="001B3514" w:rsidRDefault="00782E3E">
      <w:pPr>
        <w:suppressAutoHyphens/>
        <w:spacing w:after="140"/>
        <w:rPr>
          <w:rFonts w:eastAsia="Arial Unicode MS" w:cs="Arial Unicode MS"/>
          <w:kern w:val="2"/>
          <w:szCs w:val="24"/>
          <w:lang w:eastAsia="zh-CN" w:bidi="hi-IN"/>
        </w:rPr>
      </w:pPr>
      <w:r>
        <w:rPr>
          <w:rFonts w:eastAsia="Arial Unicode MS" w:cs="Liberation Serif"/>
          <w:color w:val="000000"/>
          <w:kern w:val="2"/>
          <w:szCs w:val="24"/>
          <w:lang w:eastAsia="zh-CN" w:bidi="hi-IN"/>
        </w:rPr>
        <w:t>Η μη τήρηση των ιατρικών οδηγιών από τους υπερτασικούς ασθενείς είναι μια συμπεριφορά που   φαίνεται πως εξαρτάται από το συνδυασμό πολλών  παραγόντων. Το  ίδιο άτομο άλλοτε ακολουθεί κάποιες οδηγίες, άλλοτε όχι ή μεταβάλλει τη συμπεριφορά του στο χρόνο. Εξάλλου, για τη συμπεριφορά αυτή μπορεί να ευθύνονται κυρίως εξωτερικοί παράγοντες, όπως το προσωπικό υγείας, η θεραπεία αλλά και η ίδια η νόσος. Είναι λοιπόν λαθεμένο, κατά τον Καραδήμα, όταν αναφερόμαστε στα άτομα αυτά να θεωρούμε τη συγκεκριμένη συμπεριφορά τους  ως ένα χαρακτηριστικό της προσωπικότητάς τους (Καραδήμας, 2005).</w:t>
      </w:r>
    </w:p>
    <w:p w:rsidR="001B3514" w:rsidRDefault="00782E3E">
      <w:pPr>
        <w:suppressAutoHyphens/>
        <w:spacing w:after="140"/>
        <w:rPr>
          <w:rFonts w:eastAsia="Arial Unicode MS" w:cs="Arial Unicode MS"/>
          <w:kern w:val="2"/>
          <w:szCs w:val="24"/>
          <w:lang w:eastAsia="zh-CN" w:bidi="hi-IN"/>
        </w:rPr>
      </w:pPr>
      <w:r>
        <w:rPr>
          <w:rFonts w:eastAsia="Arial Unicode MS" w:cs="Liberation Serif"/>
          <w:color w:val="000000"/>
          <w:kern w:val="2"/>
          <w:szCs w:val="24"/>
          <w:lang w:eastAsia="zh-CN" w:bidi="hi-IN"/>
        </w:rPr>
        <w:t xml:space="preserve">Οι επαγγελματίες στην πρωτοβάθμια κυρίως φροντίδα υγείας οφείλουν να ενημερώνουν τους ασθενείς τους και να δίνουν έμφαση στη χρονιότητα της νόσου και στα οφέλη της μακροχρόνιας αντιυπερτασικής αγωγής, προκειμένου να τους ενθαρρύνουν να λαμβάνουν την αγωγή τους (Qvarnstrοm </w:t>
      </w:r>
      <w:r>
        <w:rPr>
          <w:rFonts w:eastAsia="Arial Unicode MS" w:cs="Liberation Serif"/>
          <w:color w:val="000000"/>
          <w:kern w:val="2"/>
          <w:szCs w:val="24"/>
          <w:lang w:val="en-US" w:eastAsia="zh-CN" w:bidi="hi-IN"/>
        </w:rPr>
        <w:t>et</w:t>
      </w:r>
      <w:r>
        <w:rPr>
          <w:rFonts w:eastAsia="Arial Unicode MS" w:cs="Liberation Serif"/>
          <w:color w:val="000000"/>
          <w:kern w:val="2"/>
          <w:szCs w:val="24"/>
          <w:lang w:eastAsia="zh-CN" w:bidi="hi-IN"/>
        </w:rPr>
        <w:t xml:space="preserve"> </w:t>
      </w:r>
      <w:r>
        <w:rPr>
          <w:rFonts w:eastAsia="Arial Unicode MS" w:cs="Liberation Serif"/>
          <w:color w:val="000000"/>
          <w:kern w:val="2"/>
          <w:szCs w:val="24"/>
          <w:lang w:val="en-US" w:eastAsia="zh-CN" w:bidi="hi-IN"/>
        </w:rPr>
        <w:t>al</w:t>
      </w:r>
      <w:r>
        <w:rPr>
          <w:rFonts w:eastAsia="Arial Unicode MS" w:cs="Liberation Serif"/>
          <w:color w:val="000000"/>
          <w:kern w:val="2"/>
          <w:szCs w:val="24"/>
          <w:lang w:eastAsia="zh-CN" w:bidi="hi-IN"/>
        </w:rPr>
        <w:t xml:space="preserve">., 2017). Οι υπερτασικοί θα πρέπει να είναι ευαισθητοποιημένοι ως προς το επίπεδο - στόχο της αρτηριακής πίεσης, να εκπαιδεύονται κατάλληλα και να υιοθετούν έναν πιο υγιεινό τρόπο ζωής. </w:t>
      </w:r>
    </w:p>
    <w:p w:rsidR="001B3514" w:rsidRDefault="00782E3E">
      <w:pPr>
        <w:suppressAutoHyphens/>
        <w:spacing w:after="140"/>
        <w:rPr>
          <w:rFonts w:eastAsia="Arial Unicode MS" w:cs="Liberation Serif"/>
          <w:color w:val="000000"/>
          <w:kern w:val="2"/>
          <w:szCs w:val="24"/>
          <w:lang w:eastAsia="zh-CN" w:bidi="hi-IN"/>
        </w:rPr>
      </w:pPr>
      <w:r>
        <w:rPr>
          <w:rFonts w:eastAsia="Arial Unicode MS" w:cs="Liberation Serif"/>
          <w:color w:val="000000"/>
          <w:kern w:val="2"/>
          <w:szCs w:val="24"/>
          <w:lang w:eastAsia="zh-CN" w:bidi="hi-IN"/>
        </w:rPr>
        <w:t>Η ανάπτυξη θετικών συναισθημάτων, επιβεβαίωσης και η ικανοποίηση της ζωής, φαίνεται να δρουν ενισχυτικά στην ψυχολογική ευημερία των ασθενών και να οδηγούν σε υγιέστερες συμπεριφορές και συνήθειες επηρεάζοντας μεταξύ των άλλων και την φαρμακευτική συμμόρφωση των υπερτασικών ασθενών (Park, 2016). Εντούτοις, αναμένεται ακόμα να φανεί εάν οι θετικές ψυχολογικές παρεμβάσεις βελτιώνουν τη σωματική υγεία  και κατά συνέπεια τη νοσηρότητα και θνητότητα.</w:t>
      </w:r>
    </w:p>
    <w:p w:rsidR="001B3514" w:rsidRDefault="00782E3E">
      <w:pPr>
        <w:suppressAutoHyphens/>
        <w:spacing w:after="140"/>
        <w:rPr>
          <w:rFonts w:eastAsia="Arial Unicode MS" w:cs="Liberation Serif"/>
          <w:color w:val="000000"/>
          <w:kern w:val="2"/>
          <w:szCs w:val="24"/>
          <w:lang w:eastAsia="zh-CN" w:bidi="hi-IN"/>
        </w:rPr>
      </w:pPr>
      <w:r>
        <w:rPr>
          <w:rFonts w:eastAsia="Arial Unicode MS" w:cs="Liberation Serif"/>
          <w:color w:val="000000"/>
          <w:kern w:val="2"/>
          <w:szCs w:val="24"/>
          <w:lang w:eastAsia="zh-CN" w:bidi="hi-IN"/>
        </w:rPr>
        <w:t>Η παρούσα έρευνα πραγματοποιήθηκε με στόχο τη διερεύνηση των ψυχικών και κοινωνικών παραγόντων που επιδρούν στη συμμόρφωση των ασθενών με υπέρταση στη θεραπεία και τη συστηματική λήψη της φαρμακευτικής αγωγής που τους συνέστησε ο θεράπων ιατρός τους. Το δείγμα στο οποίο βασίστηκε η συγκεκριμένη μελέτη αποτελείται συνολικά από 100 ασθενείς με υπέρταση. Η πλειοψηφία των συμμετεχόντων στην έρευνα είναι γυναίκες (57%), με μέση ηλικία τα 62 έτη (</w:t>
      </w:r>
      <w:r>
        <w:rPr>
          <w:rFonts w:eastAsia="Arial Unicode MS" w:cs="Times New Roman"/>
          <w:color w:val="000000"/>
          <w:kern w:val="2"/>
          <w:szCs w:val="24"/>
          <w:lang w:eastAsia="zh-CN" w:bidi="hi-IN"/>
        </w:rPr>
        <w:t>±</w:t>
      </w:r>
      <w:r>
        <w:rPr>
          <w:rFonts w:eastAsia="Arial Unicode MS" w:cs="Liberation Serif"/>
          <w:color w:val="000000"/>
          <w:kern w:val="2"/>
          <w:szCs w:val="24"/>
          <w:lang w:eastAsia="zh-CN" w:bidi="hi-IN"/>
        </w:rPr>
        <w:t xml:space="preserve">17) και τις περισσότερες να δηλώνουν πως είναι έγγαμες (66%). Επιπλέον, οι </w:t>
      </w:r>
      <w:r>
        <w:rPr>
          <w:rFonts w:eastAsia="Arial Unicode MS" w:cs="Liberation Serif"/>
          <w:color w:val="000000"/>
          <w:kern w:val="2"/>
          <w:szCs w:val="24"/>
          <w:lang w:eastAsia="zh-CN" w:bidi="hi-IN"/>
        </w:rPr>
        <w:lastRenderedPageBreak/>
        <w:t>περισσότεροι συμμετέχοντες είναι συνταξιούχοι (48%), ζουν μόνιμα σε χωριό ή σε κωμόπολη (74%) και έχουν λάβει λυκειακή ή ανώτερη εκπαίδευση (59%). Μεγάλο μέρος του δείγματος παρέχει οικονομική στήριξη στα παιδιά του (58%), ενώ δεν λαμβάνει κάποια υποστήριξη από το οικογενειακό του περιβάλλον (68%). Αναφορικά με το οικογενειακό προφίλ του δείγματος, φαίνεται πως οι περισσότεροι από τους συμμετέχοντες έχουν αδέρφια (88%) και η σειρά γέννησής τους στην οικογένεια είναι η 2</w:t>
      </w:r>
      <w:r>
        <w:rPr>
          <w:rFonts w:eastAsia="Arial Unicode MS" w:cs="Liberation Serif"/>
          <w:color w:val="000000"/>
          <w:kern w:val="2"/>
          <w:szCs w:val="24"/>
          <w:vertAlign w:val="superscript"/>
          <w:lang w:eastAsia="zh-CN" w:bidi="hi-IN"/>
        </w:rPr>
        <w:t>η</w:t>
      </w:r>
      <w:r>
        <w:rPr>
          <w:rFonts w:eastAsia="Arial Unicode MS" w:cs="Liberation Serif"/>
          <w:color w:val="000000"/>
          <w:kern w:val="2"/>
          <w:szCs w:val="24"/>
          <w:lang w:eastAsia="zh-CN" w:bidi="hi-IN"/>
        </w:rPr>
        <w:t xml:space="preserve"> (42%), ενώ οι περισσότεροι από τους συμμετέχοντες είναι και οι ίδιοι γονείς (82%). Πιο συγκεκριμένα, αναφορικά με τις σχέσεις που διατηρούν οι συμμετέχοντες με τα αδέρφια τους (88.6%), τα παιδιά (93.9%) και τους γονείς τους (91%) οι περισσότεροι δηλώνουν πως οι σχέσεις τους είναι καλές. Η πλειοψηφία των συμμετεχόντων δηλώνει πως μοιάζει φυσιογνωμικά περισσότερο στη μητέρα (51%) όπως ακριβώς και ως προς τον χαρακτήρα τους, ενώ οι περισσότεροι έχουν αδυναμία και στους δύο γονείς τους (61%). Αναφορικά με τις συνήθειες τους οι περισσότεροι από τους συμμετέχοντες κάνουν διακοπές (53%), περπατούν (60%), έχουν κήπο (66%) και είναι άτομα που πάντα είχαν φίλους στη ζωή τους (88%). </w:t>
      </w:r>
    </w:p>
    <w:p w:rsidR="001B3514" w:rsidRDefault="00782E3E">
      <w:pPr>
        <w:suppressAutoHyphens/>
        <w:spacing w:after="140"/>
        <w:rPr>
          <w:rFonts w:eastAsia="Arial Unicode MS" w:cs="Arial Unicode MS"/>
          <w:kern w:val="2"/>
          <w:szCs w:val="24"/>
          <w:lang w:eastAsia="zh-CN" w:bidi="hi-IN"/>
        </w:rPr>
      </w:pPr>
      <w:r>
        <w:rPr>
          <w:rFonts w:eastAsia="Arial Unicode MS" w:cs="Liberation Serif"/>
          <w:color w:val="000000"/>
          <w:kern w:val="2"/>
          <w:szCs w:val="24"/>
          <w:lang w:eastAsia="zh-CN" w:bidi="hi-IN"/>
        </w:rPr>
        <w:t xml:space="preserve">Σχετικά με το πρόβλημα υγείας που αντιμετωπίζουν οι περισσότεροι σε σχέση με την υπέρταση, θεωρούν πως δεν είναι τόσο δύσκολο πρόβλημα (65%), παρά το γεγονός πως αντιμετωπίζουν την υπέρταση κατά μέσο όρο 10 χρόνια και λαμβάνουν 1 φάρμακο. Αναλύοντας την επίδραση της πανδημίας, οι περισσότεροι από τους ερωτηθέντες απάντησαν πως η οικογένεια του επηρεάστηκε πάρα πολύ από τον COVID 19 (36%). Ωστόσο η επίδραση της πανδημίας στην υγεία (53%), στη θεραπεία (69%) και στο πρόβλημα υπέρτασής τους (72%). </w:t>
      </w:r>
    </w:p>
    <w:p w:rsidR="001B3514" w:rsidRDefault="00782E3E">
      <w:r>
        <w:t xml:space="preserve">Τα ευρήματα της παρούσας έρευνας απέδειξαν πως το φύλο είναι ένας παράγοντας που σχετίζεται με την ψυχοπαθολογία του ασθενούς με υπέρταση και την έκφραση της προσωπικότητάς τους. Πιο αναλυτικά οι γυναίκες είναι εκείνες που εμφανίζουν πιο έντονη ψυχοπαθολογία και οι άντρες διακρίνονται από μεγαλύτερο επίπεδο νευρωτισμού. Η έρευνα Lee et al., (2016) απέδειξε επίσης πως το φύλο είναι ένας παράγοντας που σχετίζεται με την έκφραση της προσωπικότητας του ατόμου και καθορίζει τη συμμόρφωση του ατόμου στη θεραπεία, με τον πληθυσμό των γυναικών να είναι εκείνος που προσαρμόζεται πιο εύκολα στις οδηγίες που του δίνονται. </w:t>
      </w:r>
    </w:p>
    <w:p w:rsidR="001B3514" w:rsidRDefault="00782E3E">
      <w:r>
        <w:lastRenderedPageBreak/>
        <w:t>Επιπλέον, το επίπεδο μόρφωσης υπογραμμίζεται μέσω της έρευνας πως αποτελεί έναν παράγοντα που επηρεάζει την αντίληψη που διαμορφώνουν οι ασθενείς αναφορικά με τη λήψη φαρμάκων και την προσαρμογή στις υποδείξεις του γιατρού. Μέσα από την έρευνα Arshad (2015) τονίζεται το γεγονός πως οι ασθενείς με χαμηλό επίπεδο μόρφωσης παρουσιάζουν μεγαλύτερες δυσκολίες στη συμμόρφωση στη θεραπεία και την αποδοχή λήψης φαρμάκων που είναι απαραίτητα για την αντιμετώπιση των συμπτωμάτων της υπέρτασης. Ακόμη, η παρούσα έρευνα οδήγησε στο συμπέρασμα πως η οικογενειακή κατάσταση, η διατήρηση στενών φιλικών δεσμών καθώς και η ύπαρξη, αδελφών και παιδιών, οι οποίοι συνθέτουν το υποστηρικτικό περιβάλλον του ασθενούς διαμορφώνουν την προσωπικότητά του και καθορίζουν τη συμμόρφωση στη θεραπεία που τους έχει επιβληθεί. Η δημιουργία και εφαρμογή αντιυπερτασικών προγραμμάτων είναι περισσότερο πιθανό να κριθεί επιτυχής όταν ο ασθενής έχει την αμέριστη υποστήριξη και σε ορισμένες περιπτώσεις την καθοδήγηση από τα μέλη της οικογένειάς του αλλά και τους πιο κοντινούς του φίλους (Hu et al., 2015; Huang et al., 2014). Η άθληση είναι ένας παράγοντας επίσης, που μπορεί να ενισχύσει τη συμμόρφωση των ασθενών με υπέρταση στην εφαρμογή της κατάλληλης θεραπευτικής αγωγής και οδηγήσει σε άμεσα αποτελέσματα (Μαστρογιάννης και συν., 2011).</w:t>
      </w:r>
    </w:p>
    <w:p w:rsidR="001B3514" w:rsidRDefault="00782E3E">
      <w:r>
        <w:t>Παράλληλα, ένας σημαντικός παράγοντας που επηρεάζει την ψυχοπαθολογία των ασθενών με υπέρταση είναι η παροχή βοήθειας από και προς τους οικείους και η ύπαρξη δανείων γεγονότα που επηρεάζουν τον ψυχισμό τον ασθενών δημιουργώντας έντονο νευρωτισμό και επηρεάζοντας την αντίληψη των ασθενών απέναντι στη λήψη φαρμάκων γενικά, αλλά και ειδικά, σε ότι αφορά την αντιμετώπιση της υπέρτασης. Την ίδια στιγμή παρατηρώντας την επίδραση της πανδημίας στην οικογένεια, την υγεία και τη θεραπεία των ασθενών αποδεικνύεται πως όσο μεγαλύτερη είναι η επίδραση της πανδημίας τόσο περισσότερα συμπτώματα ψυχοπαθολογίας αντιμετωπίζει ο ασθενής και τόσο περισσότερο επηρεάζεται ο τρόπος με τον οποίο εκφράζει την προσωπικότητά του. Τέλος τα αποτελέσματα της έρευνας απέδειξαν πως η προσωπικότητα του ασθενούς είναι ένας παράγοντας που καθορίζει τη συμμόρφωσή του στη θεραπεία, ενώ φαίνεται πως σχετίζεται με την ψυχοπαθολογία που αναπτύσσει το άτομο. Η εξωστρέφεια είναι ένα χαρακτηριστικό του ατόμου που φαίνεται πως σχετίζεται σε μεγαλύτερο βαθμό με τις απόψεις του ασθενούς για τη λήψη θεραπευτικής αγωγής (Χοβαρδά &amp; Κατσαλιάκη, 2015).</w:t>
      </w:r>
    </w:p>
    <w:p w:rsidR="001B3514" w:rsidRDefault="001B3514"/>
    <w:p w:rsidR="001B3514" w:rsidRDefault="00782E3E">
      <w:pPr>
        <w:spacing w:line="259" w:lineRule="auto"/>
        <w:jc w:val="left"/>
      </w:pPr>
      <w:r>
        <w:br w:type="page"/>
      </w:r>
    </w:p>
    <w:p w:rsidR="001B3514" w:rsidRDefault="00782E3E">
      <w:pPr>
        <w:pStyle w:val="2"/>
      </w:pPr>
      <w:bookmarkStart w:id="77" w:name="_Toc64641778"/>
      <w:r>
        <w:lastRenderedPageBreak/>
        <w:t>7.2 Συμπεράσματα</w:t>
      </w:r>
      <w:bookmarkEnd w:id="77"/>
    </w:p>
    <w:p w:rsidR="001B3514" w:rsidRDefault="00782E3E">
      <w:r>
        <w:t>Τα συμπεράσματα στα οποία οδήγησε η παρούσα έρευνα σχετικά με τους παράγοντες της προσωπικότητας του ατόμου που επηρεάζουν τη συμμόρφωσή του στη θεραπεία είναι τα εξής:</w:t>
      </w:r>
    </w:p>
    <w:p w:rsidR="001B3514" w:rsidRDefault="00782E3E">
      <w:pPr>
        <w:pStyle w:val="ae"/>
        <w:numPr>
          <w:ilvl w:val="0"/>
          <w:numId w:val="2"/>
        </w:numPr>
      </w:pPr>
      <w:r>
        <w:t>Το φύλο και το επίπεδο εκπαίδευσης αποτελούν παράγοντες που καθορίζουν το ποσοστό συμμόρφωσης των ασθενών στη θεραπεία της υπέρτασης, ενώ διαμορφώνουν την προσωπικότητα του ατόμου.</w:t>
      </w:r>
    </w:p>
    <w:p w:rsidR="001B3514" w:rsidRDefault="00782E3E">
      <w:pPr>
        <w:pStyle w:val="ae"/>
        <w:numPr>
          <w:ilvl w:val="0"/>
          <w:numId w:val="2"/>
        </w:numPr>
      </w:pPr>
      <w:r>
        <w:t>Η οικογενειακή κατάσταση των ασθενών καθώς επίσης και η ύπαρξη παιδιών, αδελφών και φίλων στο οικείο περιβάλλον, δρα υποστηρικτικά και συμβάλει στη συμμόρφωση του ασθενούς στην θεραπεία της υπέρτασης.</w:t>
      </w:r>
    </w:p>
    <w:p w:rsidR="001B3514" w:rsidRDefault="00782E3E">
      <w:pPr>
        <w:pStyle w:val="ae"/>
        <w:numPr>
          <w:ilvl w:val="0"/>
          <w:numId w:val="2"/>
        </w:numPr>
      </w:pPr>
      <w:r>
        <w:t>Η άθληση και ο υγιεινός τρόπος ζωής ενισχύει την προσαρμογή του ασθενούς στις ανάγκες της θεραπευτικής αντιμετώπισης της υπέρτασης.</w:t>
      </w:r>
    </w:p>
    <w:p w:rsidR="001B3514" w:rsidRDefault="00782E3E">
      <w:pPr>
        <w:pStyle w:val="ae"/>
        <w:numPr>
          <w:ilvl w:val="0"/>
          <w:numId w:val="2"/>
        </w:numPr>
      </w:pPr>
      <w:r>
        <w:t>Οι οικονομικές υποχρεώσεις και η ανάγκη οικονομική στήριξης είναι ένας παράγοντας που καθορίζει την έκφραση της ψυχοπαθολογίας του ασθενούς και επηρεάζει την αντίληψη του ατόμου αναφορικά με τη λήψη φαρμάκων.</w:t>
      </w:r>
    </w:p>
    <w:p w:rsidR="001B3514" w:rsidRDefault="00782E3E">
      <w:pPr>
        <w:pStyle w:val="ae"/>
        <w:numPr>
          <w:ilvl w:val="0"/>
          <w:numId w:val="2"/>
        </w:numPr>
      </w:pPr>
      <w:r>
        <w:t>Η επίδραση της πανδημίας στη ζωή και την υγεία των ασθενών, επηρέασε τη συμμόρφωση του ασθενούς στην υπερτασική θεραπεία.</w:t>
      </w:r>
    </w:p>
    <w:p w:rsidR="001B3514" w:rsidRDefault="00782E3E">
      <w:pPr>
        <w:spacing w:line="259" w:lineRule="auto"/>
        <w:jc w:val="left"/>
      </w:pPr>
      <w:r>
        <w:br w:type="page"/>
      </w:r>
    </w:p>
    <w:p w:rsidR="001B3514" w:rsidRDefault="00782E3E">
      <w:pPr>
        <w:pStyle w:val="2"/>
      </w:pPr>
      <w:bookmarkStart w:id="78" w:name="_Toc64641779"/>
      <w:r>
        <w:lastRenderedPageBreak/>
        <w:t>7.3 Περιορισμοί – προτάσεις</w:t>
      </w:r>
      <w:bookmarkEnd w:id="78"/>
    </w:p>
    <w:p w:rsidR="001B3514" w:rsidRDefault="00782E3E">
      <w:r>
        <w:t>Η έρευνα οδήγησε σε σημαντικά συμπεράσματα για τον τρόπο με τον οποίο η προσωπικότητα του ατόμου επιδρά στη συμμόρφωσή του στη θεραπευτική αγωγή της υπέρτασης. Ωστόσο, υπήρξαν ορισμένοι περιορισμοί που σχετίζονται με το χρόνο και το χώρο διεξαγωγής της μελέτης. Ακόμη, η πανδημία COVID 19 είχε σαν αποτέλεσμα τη συλλογή περιορισμένου δείγματος ασθενών με υπέρταση με αποτέλεσμα τα συμπεράσματα που εξήχθησαν στη συγκεκριμένη μελέτη να μην είναι εφικτό να γενικευτούν στο σύνολο των υπερτασικών ασθενών της χώρας. Τέλος, προτείνεται η περαιτέρω μελέτη του συγκεκριμένου θέματος λαμβάνοντας υπόψιν τις απόψεις ασθενών που αντιμετωπίζουν ασθένειες όπως είναι ο σακχαρώδης διαβήτης, η δυσλιπιδαιμία κ.ά.</w:t>
      </w:r>
    </w:p>
    <w:p w:rsidR="001B3514" w:rsidRDefault="00782E3E">
      <w:pPr>
        <w:spacing w:line="259" w:lineRule="auto"/>
        <w:jc w:val="left"/>
      </w:pPr>
      <w:r>
        <w:br w:type="page"/>
      </w:r>
    </w:p>
    <w:p w:rsidR="001B3514" w:rsidRDefault="00782E3E">
      <w:pPr>
        <w:pStyle w:val="1"/>
      </w:pPr>
      <w:bookmarkStart w:id="79" w:name="_Toc64641780"/>
      <w:r>
        <w:lastRenderedPageBreak/>
        <w:t>Βιβλιογραφία</w:t>
      </w:r>
      <w:bookmarkEnd w:id="79"/>
    </w:p>
    <w:p w:rsidR="001B3514" w:rsidRDefault="00782E3E">
      <w:pPr>
        <w:pStyle w:val="2"/>
      </w:pPr>
      <w:bookmarkStart w:id="80" w:name="_Toc64641781"/>
      <w:r>
        <w:t>Ελληνική βιβλιογραφία</w:t>
      </w:r>
      <w:bookmarkEnd w:id="80"/>
    </w:p>
    <w:p w:rsidR="001B3514" w:rsidRDefault="00782E3E">
      <w:pPr>
        <w:ind w:left="720" w:hanging="720"/>
        <w:rPr>
          <w:sz w:val="22"/>
        </w:rPr>
      </w:pPr>
      <w:r>
        <w:rPr>
          <w:sz w:val="22"/>
        </w:rPr>
        <w:t xml:space="preserve">Ανδρικόπουλος, Γ. (2019): Η </w:t>
      </w:r>
      <w:r>
        <w:rPr>
          <w:sz w:val="22"/>
          <w:lang w:val="en-US"/>
        </w:rPr>
        <w:t>Apple</w:t>
      </w:r>
      <w:r>
        <w:rPr>
          <w:sz w:val="22"/>
        </w:rPr>
        <w:t xml:space="preserve"> </w:t>
      </w:r>
      <w:r>
        <w:rPr>
          <w:sz w:val="22"/>
          <w:lang w:val="en-US"/>
        </w:rPr>
        <w:t>Heart</w:t>
      </w:r>
      <w:r>
        <w:rPr>
          <w:sz w:val="22"/>
        </w:rPr>
        <w:t xml:space="preserve"> </w:t>
      </w:r>
      <w:r>
        <w:rPr>
          <w:sz w:val="22"/>
          <w:lang w:val="en-US"/>
        </w:rPr>
        <w:t>Study</w:t>
      </w:r>
      <w:r>
        <w:rPr>
          <w:sz w:val="22"/>
        </w:rPr>
        <w:t xml:space="preserve"> αλλάζει τα δεδομένα στη διάγνωση και παρακολούθηση των διαταραχών του ρυθμού. </w:t>
      </w:r>
      <w:r>
        <w:rPr>
          <w:sz w:val="22"/>
          <w:lang w:val="en-US"/>
        </w:rPr>
        <w:t>K</w:t>
      </w:r>
      <w:r>
        <w:rPr>
          <w:sz w:val="22"/>
        </w:rPr>
        <w:t xml:space="preserve">αρδιά &amp; Αγγεία. Τόμος </w:t>
      </w:r>
      <w:r>
        <w:rPr>
          <w:sz w:val="22"/>
          <w:lang w:val="en-US"/>
        </w:rPr>
        <w:t>XXIV</w:t>
      </w:r>
      <w:r>
        <w:rPr>
          <w:sz w:val="22"/>
        </w:rPr>
        <w:t>/ Τεύχος 1. Ιανουάριος-Μάρτιος 2019.</w:t>
      </w:r>
    </w:p>
    <w:p w:rsidR="001B3514" w:rsidRDefault="00782E3E">
      <w:pPr>
        <w:ind w:left="720" w:hanging="720"/>
        <w:rPr>
          <w:sz w:val="22"/>
          <w:lang w:val="en-US"/>
        </w:rPr>
      </w:pPr>
      <w:r>
        <w:rPr>
          <w:sz w:val="22"/>
        </w:rPr>
        <w:t>Βενέτη, Α. (2018). Η συμμόρφωση στην υγεία.</w:t>
      </w:r>
      <w:r>
        <w:rPr>
          <w:sz w:val="22"/>
          <w:lang w:val="en-US"/>
        </w:rPr>
        <w:t>https</w:t>
      </w:r>
      <w:r>
        <w:rPr>
          <w:sz w:val="22"/>
        </w:rPr>
        <w:t>://</w:t>
      </w:r>
      <w:r>
        <w:rPr>
          <w:sz w:val="22"/>
          <w:lang w:val="en-US"/>
        </w:rPr>
        <w:t>static</w:t>
      </w:r>
      <w:r>
        <w:rPr>
          <w:sz w:val="22"/>
        </w:rPr>
        <w:t xml:space="preserve">. </w:t>
      </w:r>
      <w:r>
        <w:rPr>
          <w:sz w:val="22"/>
          <w:lang w:val="en-US"/>
        </w:rPr>
        <w:t>Livemedia.gr /services / hcs/userfiles</w:t>
      </w:r>
    </w:p>
    <w:p w:rsidR="001B3514" w:rsidRDefault="00782E3E">
      <w:pPr>
        <w:ind w:left="720" w:hanging="720"/>
        <w:rPr>
          <w:sz w:val="22"/>
        </w:rPr>
      </w:pPr>
      <w:r>
        <w:rPr>
          <w:sz w:val="22"/>
        </w:rPr>
        <w:t>Βουτσινά</w:t>
      </w:r>
      <w:r>
        <w:rPr>
          <w:sz w:val="22"/>
          <w:lang w:val="en-US"/>
        </w:rPr>
        <w:t xml:space="preserve">, </w:t>
      </w:r>
      <w:r>
        <w:rPr>
          <w:sz w:val="22"/>
        </w:rPr>
        <w:t>Π</w:t>
      </w:r>
      <w:r>
        <w:rPr>
          <w:sz w:val="22"/>
          <w:lang w:val="en-US"/>
        </w:rPr>
        <w:t xml:space="preserve">. (2016). </w:t>
      </w:r>
      <w:r>
        <w:rPr>
          <w:sz w:val="22"/>
        </w:rPr>
        <w:t>Συμμόρφωση στην αντιϋπερτασική αγωγή και ποιότητα ζωής των ασθενών περιοχής ευθύνης του Κ. Υ Μελιγαλά.</w:t>
      </w:r>
    </w:p>
    <w:p w:rsidR="001B3514" w:rsidRDefault="00782E3E">
      <w:pPr>
        <w:ind w:left="720" w:hanging="720"/>
        <w:rPr>
          <w:sz w:val="22"/>
        </w:rPr>
      </w:pPr>
      <w:r>
        <w:rPr>
          <w:sz w:val="22"/>
        </w:rPr>
        <w:t xml:space="preserve">Γιαβασόπουλος, Ε., Γουρνή, Π. ( 2008). </w:t>
      </w:r>
      <w:r>
        <w:rPr>
          <w:i/>
          <w:iCs/>
          <w:sz w:val="22"/>
        </w:rPr>
        <w:t>Ψυχολογικές αλληλεπιδράσεις στη χρόνια ασθένεια. Εκπαίδευση- νοσηλευτικές παρεμβάσεις στους χρόνιους πάσχοντες ασθενείς</w:t>
      </w:r>
      <w:r>
        <w:rPr>
          <w:sz w:val="22"/>
        </w:rPr>
        <w:t>. Το Βήμα του Ασκληπιού. Τόμος 7ος . Τεύχος 1ο Ιανουάριος- Μάρτιος 2008.</w:t>
      </w:r>
    </w:p>
    <w:p w:rsidR="001B3514" w:rsidRDefault="00782E3E">
      <w:pPr>
        <w:ind w:left="720" w:hanging="720"/>
        <w:rPr>
          <w:sz w:val="22"/>
        </w:rPr>
      </w:pPr>
      <w:r>
        <w:rPr>
          <w:sz w:val="22"/>
        </w:rPr>
        <w:t>Γουργουλιάνη Σ.</w:t>
      </w:r>
      <w:r w:rsidR="00DE64F5">
        <w:rPr>
          <w:sz w:val="22"/>
        </w:rPr>
        <w:t xml:space="preserve"> </w:t>
      </w:r>
      <w:r>
        <w:rPr>
          <w:sz w:val="22"/>
        </w:rPr>
        <w:t xml:space="preserve">(2017). </w:t>
      </w:r>
      <w:r>
        <w:rPr>
          <w:i/>
          <w:iCs/>
          <w:sz w:val="22"/>
        </w:rPr>
        <w:t>Τα ανθρώπινα δικαιώματα των χρονίως πασχόντων</w:t>
      </w:r>
      <w:r>
        <w:rPr>
          <w:sz w:val="22"/>
        </w:rPr>
        <w:t>. ΕΑΠ.</w:t>
      </w:r>
    </w:p>
    <w:p w:rsidR="001B3514" w:rsidRDefault="00782E3E">
      <w:pPr>
        <w:ind w:left="720" w:hanging="720"/>
        <w:rPr>
          <w:sz w:val="22"/>
          <w:lang w:val="en-US"/>
        </w:rPr>
      </w:pPr>
      <w:r>
        <w:rPr>
          <w:sz w:val="22"/>
        </w:rPr>
        <w:t>Γρηγορίου Σ., Καρατζαφέρη Χ., Γιαννάκη</w:t>
      </w:r>
      <w:r w:rsidR="00DE64F5">
        <w:rPr>
          <w:sz w:val="22"/>
        </w:rPr>
        <w:t xml:space="preserve"> </w:t>
      </w:r>
      <w:r>
        <w:rPr>
          <w:sz w:val="22"/>
        </w:rPr>
        <w:t>Χ., Σακκάς</w:t>
      </w:r>
      <w:r w:rsidR="00DE64F5">
        <w:rPr>
          <w:sz w:val="22"/>
        </w:rPr>
        <w:t xml:space="preserve"> </w:t>
      </w:r>
      <w:r>
        <w:rPr>
          <w:sz w:val="22"/>
        </w:rPr>
        <w:t xml:space="preserve"> Γ. (2015). </w:t>
      </w:r>
      <w:r>
        <w:rPr>
          <w:i/>
          <w:iCs/>
          <w:sz w:val="22"/>
        </w:rPr>
        <w:t>Αξιολόγηση αντιλαμβανόμενης ποιότητας ζωής.</w:t>
      </w:r>
      <w:r>
        <w:rPr>
          <w:sz w:val="22"/>
        </w:rPr>
        <w:t xml:space="preserve"> www. kallipos. </w:t>
      </w:r>
      <w:r>
        <w:rPr>
          <w:sz w:val="22"/>
          <w:lang w:val="en-US"/>
        </w:rPr>
        <w:t>Gr</w:t>
      </w:r>
    </w:p>
    <w:p w:rsidR="001B3514" w:rsidRDefault="00782E3E">
      <w:pPr>
        <w:ind w:left="720" w:hanging="720"/>
        <w:rPr>
          <w:sz w:val="22"/>
          <w:lang w:val="en-US"/>
        </w:rPr>
      </w:pPr>
      <w:r>
        <w:rPr>
          <w:sz w:val="22"/>
        </w:rPr>
        <w:t>Ελληνική</w:t>
      </w:r>
      <w:r>
        <w:rPr>
          <w:sz w:val="22"/>
          <w:lang w:val="en-US"/>
        </w:rPr>
        <w:t xml:space="preserve"> </w:t>
      </w:r>
      <w:r>
        <w:rPr>
          <w:sz w:val="22"/>
        </w:rPr>
        <w:t>Καρδιολογική</w:t>
      </w:r>
      <w:r>
        <w:rPr>
          <w:sz w:val="22"/>
          <w:lang w:val="en-US"/>
        </w:rPr>
        <w:t xml:space="preserve"> </w:t>
      </w:r>
      <w:r>
        <w:rPr>
          <w:sz w:val="22"/>
        </w:rPr>
        <w:t>Εταιρεία</w:t>
      </w:r>
      <w:r>
        <w:rPr>
          <w:sz w:val="22"/>
          <w:lang w:val="en-US"/>
        </w:rPr>
        <w:t xml:space="preserve"> . </w:t>
      </w:r>
      <w:r>
        <w:rPr>
          <w:sz w:val="22"/>
        </w:rPr>
        <w:t>Επιστημονικά</w:t>
      </w:r>
      <w:r>
        <w:rPr>
          <w:sz w:val="22"/>
          <w:lang w:val="en-US"/>
        </w:rPr>
        <w:t xml:space="preserve"> </w:t>
      </w:r>
      <w:r>
        <w:rPr>
          <w:sz w:val="22"/>
        </w:rPr>
        <w:t>Νέα</w:t>
      </w:r>
      <w:r>
        <w:rPr>
          <w:sz w:val="22"/>
          <w:lang w:val="en-US"/>
        </w:rPr>
        <w:t xml:space="preserve"> (2019) : 2019 ACC/AHA Guideline Prevention of Cardiovascular Disease . </w:t>
      </w:r>
      <w:r>
        <w:rPr>
          <w:sz w:val="22"/>
        </w:rPr>
        <w:t>Γουδέβενος</w:t>
      </w:r>
      <w:r>
        <w:rPr>
          <w:sz w:val="22"/>
          <w:lang w:val="en-US"/>
        </w:rPr>
        <w:t xml:space="preserve"> </w:t>
      </w:r>
      <w:r>
        <w:rPr>
          <w:sz w:val="22"/>
        </w:rPr>
        <w:t>Ιωάννης</w:t>
      </w:r>
      <w:r>
        <w:rPr>
          <w:sz w:val="22"/>
          <w:lang w:val="en-US"/>
        </w:rPr>
        <w:t xml:space="preserve">. </w:t>
      </w:r>
    </w:p>
    <w:p w:rsidR="001B3514" w:rsidRDefault="00782E3E">
      <w:pPr>
        <w:ind w:left="720" w:hanging="720"/>
        <w:rPr>
          <w:sz w:val="22"/>
          <w:lang w:val="en-US"/>
        </w:rPr>
      </w:pPr>
      <w:r>
        <w:rPr>
          <w:sz w:val="22"/>
        </w:rPr>
        <w:t>Ελληνικη</w:t>
      </w:r>
      <w:r>
        <w:rPr>
          <w:sz w:val="22"/>
          <w:lang w:val="en-US"/>
        </w:rPr>
        <w:t xml:space="preserve">́ </w:t>
      </w:r>
      <w:r>
        <w:rPr>
          <w:sz w:val="22"/>
        </w:rPr>
        <w:t>Στατιστικη</w:t>
      </w:r>
      <w:r>
        <w:rPr>
          <w:sz w:val="22"/>
          <w:lang w:val="en-US"/>
        </w:rPr>
        <w:t xml:space="preserve">́ </w:t>
      </w:r>
      <w:r>
        <w:rPr>
          <w:sz w:val="22"/>
        </w:rPr>
        <w:t>Αρχη</w:t>
      </w:r>
      <w:r>
        <w:rPr>
          <w:sz w:val="22"/>
          <w:lang w:val="en-US"/>
        </w:rPr>
        <w:t>́. (2015) «</w:t>
      </w:r>
      <w:r>
        <w:rPr>
          <w:sz w:val="22"/>
        </w:rPr>
        <w:t>Ε</w:t>
      </w:r>
      <w:r>
        <w:rPr>
          <w:sz w:val="22"/>
          <w:lang w:val="en-US"/>
        </w:rPr>
        <w:t>́</w:t>
      </w:r>
      <w:r>
        <w:rPr>
          <w:sz w:val="22"/>
        </w:rPr>
        <w:t>ρευνα</w:t>
      </w:r>
      <w:r>
        <w:rPr>
          <w:sz w:val="22"/>
          <w:lang w:val="en-US"/>
        </w:rPr>
        <w:t xml:space="preserve"> </w:t>
      </w:r>
      <w:r>
        <w:rPr>
          <w:sz w:val="22"/>
        </w:rPr>
        <w:t>Υγει</w:t>
      </w:r>
      <w:r>
        <w:rPr>
          <w:sz w:val="22"/>
          <w:lang w:val="en-US"/>
        </w:rPr>
        <w:t>́</w:t>
      </w:r>
      <w:r>
        <w:rPr>
          <w:sz w:val="22"/>
        </w:rPr>
        <w:t>ας</w:t>
      </w:r>
      <w:r>
        <w:rPr>
          <w:sz w:val="22"/>
          <w:lang w:val="en-US"/>
        </w:rPr>
        <w:t xml:space="preserve">: </w:t>
      </w:r>
      <w:r>
        <w:rPr>
          <w:sz w:val="22"/>
        </w:rPr>
        <w:t>Ε</w:t>
      </w:r>
      <w:r>
        <w:rPr>
          <w:sz w:val="22"/>
          <w:lang w:val="en-US"/>
        </w:rPr>
        <w:t>́</w:t>
      </w:r>
      <w:r>
        <w:rPr>
          <w:sz w:val="22"/>
        </w:rPr>
        <w:t>τος</w:t>
      </w:r>
      <w:r>
        <w:rPr>
          <w:sz w:val="22"/>
          <w:lang w:val="en-US"/>
        </w:rPr>
        <w:t xml:space="preserve"> 2014». ∆</w:t>
      </w:r>
      <w:r>
        <w:rPr>
          <w:sz w:val="22"/>
        </w:rPr>
        <w:t>ια</w:t>
      </w:r>
      <w:r>
        <w:rPr>
          <w:sz w:val="22"/>
          <w:lang w:val="en-US"/>
        </w:rPr>
        <w:t xml:space="preserve">- </w:t>
      </w:r>
      <w:r>
        <w:rPr>
          <w:sz w:val="22"/>
        </w:rPr>
        <w:t>θε</w:t>
      </w:r>
      <w:r>
        <w:rPr>
          <w:sz w:val="22"/>
          <w:lang w:val="en-US"/>
        </w:rPr>
        <w:t>́</w:t>
      </w:r>
      <w:r>
        <w:rPr>
          <w:sz w:val="22"/>
        </w:rPr>
        <w:t>σιμο</w:t>
      </w:r>
      <w:r>
        <w:rPr>
          <w:sz w:val="22"/>
          <w:lang w:val="en-US"/>
        </w:rPr>
        <w:t xml:space="preserve"> </w:t>
      </w:r>
      <w:r>
        <w:rPr>
          <w:sz w:val="22"/>
        </w:rPr>
        <w:t>στο</w:t>
      </w:r>
      <w:r>
        <w:rPr>
          <w:sz w:val="22"/>
          <w:lang w:val="en-US"/>
        </w:rPr>
        <w:t>: http://www.statistics.gr/el/statistics/-/publication/ SHE22/- H</w:t>
      </w:r>
      <w:r>
        <w:rPr>
          <w:sz w:val="22"/>
        </w:rPr>
        <w:t>μερομηνι</w:t>
      </w:r>
      <w:r>
        <w:rPr>
          <w:sz w:val="22"/>
          <w:lang w:val="en-US"/>
        </w:rPr>
        <w:t>́</w:t>
      </w:r>
      <w:r>
        <w:rPr>
          <w:sz w:val="22"/>
        </w:rPr>
        <w:t>α</w:t>
      </w:r>
      <w:r>
        <w:rPr>
          <w:sz w:val="22"/>
          <w:lang w:val="en-US"/>
        </w:rPr>
        <w:t xml:space="preserve"> </w:t>
      </w:r>
      <w:r>
        <w:rPr>
          <w:sz w:val="22"/>
        </w:rPr>
        <w:t>ανα</w:t>
      </w:r>
      <w:r>
        <w:rPr>
          <w:sz w:val="22"/>
          <w:lang w:val="en-US"/>
        </w:rPr>
        <w:t>́</w:t>
      </w:r>
      <w:r>
        <w:rPr>
          <w:sz w:val="22"/>
        </w:rPr>
        <w:t>κτησης</w:t>
      </w:r>
      <w:r>
        <w:rPr>
          <w:sz w:val="22"/>
          <w:lang w:val="en-US"/>
        </w:rPr>
        <w:t xml:space="preserve">: 20/11/2015. </w:t>
      </w:r>
    </w:p>
    <w:p w:rsidR="001B3514" w:rsidRPr="00276045" w:rsidRDefault="00782E3E" w:rsidP="00276045">
      <w:pPr>
        <w:ind w:left="720" w:hanging="720"/>
        <w:rPr>
          <w:sz w:val="22"/>
          <w:lang w:val="en-US"/>
        </w:rPr>
      </w:pPr>
      <w:r>
        <w:rPr>
          <w:sz w:val="22"/>
        </w:rPr>
        <w:t>Εθνικός</w:t>
      </w:r>
      <w:r>
        <w:rPr>
          <w:sz w:val="22"/>
          <w:lang w:val="en-US"/>
        </w:rPr>
        <w:t xml:space="preserve"> </w:t>
      </w:r>
      <w:r>
        <w:rPr>
          <w:sz w:val="22"/>
        </w:rPr>
        <w:t>Οργανισμός</w:t>
      </w:r>
      <w:r>
        <w:rPr>
          <w:sz w:val="22"/>
          <w:lang w:val="en-US"/>
        </w:rPr>
        <w:t xml:space="preserve"> </w:t>
      </w:r>
      <w:r>
        <w:rPr>
          <w:sz w:val="22"/>
        </w:rPr>
        <w:t>Δημόσιας</w:t>
      </w:r>
      <w:r>
        <w:rPr>
          <w:sz w:val="22"/>
          <w:lang w:val="en-US"/>
        </w:rPr>
        <w:t xml:space="preserve"> </w:t>
      </w:r>
      <w:r>
        <w:rPr>
          <w:sz w:val="22"/>
        </w:rPr>
        <w:t>Υγείας</w:t>
      </w:r>
      <w:r>
        <w:rPr>
          <w:sz w:val="22"/>
          <w:lang w:val="en-US"/>
        </w:rPr>
        <w:t xml:space="preserve"> (</w:t>
      </w:r>
      <w:r>
        <w:rPr>
          <w:sz w:val="22"/>
        </w:rPr>
        <w:t>ΕΟΔΥ</w:t>
      </w:r>
      <w:r>
        <w:rPr>
          <w:sz w:val="22"/>
          <w:lang w:val="en-US"/>
        </w:rPr>
        <w:t xml:space="preserve">) 2013 : </w:t>
      </w:r>
      <w:r>
        <w:rPr>
          <w:sz w:val="22"/>
        </w:rPr>
        <w:t>Αρτηριακή</w:t>
      </w:r>
      <w:r>
        <w:rPr>
          <w:sz w:val="22"/>
          <w:lang w:val="en-US"/>
        </w:rPr>
        <w:t xml:space="preserve"> </w:t>
      </w:r>
      <w:r>
        <w:rPr>
          <w:sz w:val="22"/>
        </w:rPr>
        <w:t>Υπέρταση</w:t>
      </w:r>
      <w:r>
        <w:rPr>
          <w:sz w:val="22"/>
          <w:lang w:val="en-US"/>
        </w:rPr>
        <w:t>.ESC (European Society of Cardiology ) : 2018 ESC/ESH Clinical Practice Guidelines for the Management of Arterial Hypertension</w:t>
      </w:r>
    </w:p>
    <w:p w:rsidR="001B3514" w:rsidRDefault="00782E3E">
      <w:pPr>
        <w:ind w:left="720" w:hanging="720"/>
        <w:rPr>
          <w:i/>
          <w:iCs/>
          <w:sz w:val="22"/>
        </w:rPr>
      </w:pPr>
      <w:r>
        <w:rPr>
          <w:sz w:val="22"/>
        </w:rPr>
        <w:t xml:space="preserve">Ζήση, Β. (2003) : </w:t>
      </w:r>
      <w:r>
        <w:rPr>
          <w:i/>
          <w:iCs/>
          <w:sz w:val="22"/>
        </w:rPr>
        <w:t>Φυσική δραστηριότητα και γνωστική λειτουργία.</w:t>
      </w:r>
    </w:p>
    <w:p w:rsidR="001B3514" w:rsidRDefault="00782E3E">
      <w:pPr>
        <w:ind w:left="720" w:hanging="720"/>
        <w:rPr>
          <w:sz w:val="22"/>
        </w:rPr>
      </w:pPr>
      <w:r>
        <w:rPr>
          <w:sz w:val="22"/>
        </w:rPr>
        <w:t>Καζάκου, Π (2012) : Αξονας Υποθάλαμος- Υπόφυση - Επινεφρίδια και Μεταβολικό Σύνδρομο. Διδακτορική Διατριβή. Πάτρα 2012.</w:t>
      </w:r>
    </w:p>
    <w:p w:rsidR="001B3514" w:rsidRDefault="00782E3E">
      <w:pPr>
        <w:ind w:left="720" w:hanging="720"/>
        <w:rPr>
          <w:sz w:val="22"/>
          <w:lang w:val="en-US"/>
        </w:rPr>
      </w:pPr>
      <w:r>
        <w:rPr>
          <w:sz w:val="22"/>
        </w:rPr>
        <w:t xml:space="preserve">Καλαντζή – Αζιζη Α. (1996) :   Εφηρμοσμένη Κλινική Ψυχολογία στο χώρο της Υγείας. </w:t>
      </w:r>
      <w:r>
        <w:rPr>
          <w:sz w:val="22"/>
          <w:lang w:val="en-US"/>
        </w:rPr>
        <w:t>Αθήνα Ε.Κ.Π.Α.</w:t>
      </w:r>
    </w:p>
    <w:p w:rsidR="001B3514" w:rsidRDefault="00782E3E">
      <w:pPr>
        <w:ind w:left="720" w:hanging="720"/>
        <w:rPr>
          <w:sz w:val="22"/>
        </w:rPr>
      </w:pPr>
      <w:r>
        <w:rPr>
          <w:sz w:val="22"/>
          <w:lang w:val="en-US"/>
        </w:rPr>
        <w:lastRenderedPageBreak/>
        <w:t>Καλοσακά</w:t>
      </w:r>
      <w:r w:rsidR="000E2DA8" w:rsidRPr="00DE64F5">
        <w:rPr>
          <w:sz w:val="22"/>
          <w:lang w:val="en-US"/>
        </w:rPr>
        <w:t xml:space="preserve"> </w:t>
      </w:r>
      <w:r w:rsidR="000E2DA8">
        <w:rPr>
          <w:sz w:val="22"/>
        </w:rPr>
        <w:t>Δ</w:t>
      </w:r>
      <w:r w:rsidR="000E2DA8" w:rsidRPr="00DE64F5">
        <w:rPr>
          <w:sz w:val="22"/>
          <w:lang w:val="en-US"/>
        </w:rPr>
        <w:t xml:space="preserve"> &amp; </w:t>
      </w:r>
      <w:r>
        <w:rPr>
          <w:sz w:val="22"/>
          <w:lang w:val="en-US"/>
        </w:rPr>
        <w:t>Ζέρβας, Ε. (2019) : Impact of economic crisis to the deaths from cardiovascular deceases (in Greek) Conference: 8th Greek Conference of the Working Groups of the Greek Atherosclerosis Society. Athens</w:t>
      </w:r>
      <w:r>
        <w:rPr>
          <w:sz w:val="22"/>
        </w:rPr>
        <w:t>.</w:t>
      </w:r>
    </w:p>
    <w:p w:rsidR="001B3514" w:rsidRDefault="00782E3E">
      <w:pPr>
        <w:ind w:left="720" w:hanging="720"/>
        <w:rPr>
          <w:sz w:val="22"/>
        </w:rPr>
      </w:pPr>
      <w:r>
        <w:rPr>
          <w:sz w:val="22"/>
        </w:rPr>
        <w:t>Καραδήμας, Ε. (2005) : Ψυχολογία της Υγείας. Θεωρία και κλινική πράξη. Εκδ. Τυποθήτω – Γιώργος Δάρδανος.</w:t>
      </w:r>
    </w:p>
    <w:p w:rsidR="001B3514" w:rsidRDefault="00782E3E">
      <w:pPr>
        <w:ind w:left="720" w:hanging="720"/>
        <w:rPr>
          <w:sz w:val="22"/>
        </w:rPr>
      </w:pPr>
      <w:r>
        <w:rPr>
          <w:sz w:val="22"/>
        </w:rPr>
        <w:t>Κατευθυντήριες Οδηγίες για την Αρτηριακή Υπέρταση από την AHA/ACC (2017): 130/80 mmHg το κατώτερο φυσιολογικό όριο αρτηριακής πίεσης.</w:t>
      </w:r>
      <w:r w:rsidR="000E2DA8" w:rsidRPr="000E2DA8">
        <w:rPr>
          <w:sz w:val="22"/>
        </w:rPr>
        <w:t xml:space="preserve"> </w:t>
      </w:r>
      <w:r>
        <w:rPr>
          <w:sz w:val="22"/>
        </w:rPr>
        <w:t>Ε.Κ.Ο.Μ.Ε.Ν.</w:t>
      </w:r>
    </w:p>
    <w:p w:rsidR="001B3514" w:rsidRDefault="00782E3E">
      <w:pPr>
        <w:ind w:left="720" w:hanging="720"/>
        <w:rPr>
          <w:sz w:val="22"/>
        </w:rPr>
      </w:pPr>
      <w:r>
        <w:rPr>
          <w:sz w:val="22"/>
        </w:rPr>
        <w:t>Κίκηρα, Α.</w:t>
      </w:r>
      <w:r w:rsidR="00F7158D">
        <w:rPr>
          <w:sz w:val="22"/>
        </w:rPr>
        <w:t>,</w:t>
      </w:r>
      <w:r w:rsidR="000E2DA8">
        <w:rPr>
          <w:sz w:val="22"/>
          <w:lang w:val="en-US"/>
        </w:rPr>
        <w:t xml:space="preserve"> </w:t>
      </w:r>
      <w:r>
        <w:rPr>
          <w:sz w:val="22"/>
        </w:rPr>
        <w:t xml:space="preserve">Τσάμη, Α.  (2017):Συμμόρφωση προς τη θεραπεία σε ασθενείς με καρδιακή ανεπάρκεια. </w:t>
      </w:r>
      <w:r>
        <w:rPr>
          <w:i/>
          <w:iCs/>
          <w:sz w:val="22"/>
        </w:rPr>
        <w:t>Perioperative Nursing(2017)</w:t>
      </w:r>
      <w:r>
        <w:rPr>
          <w:sz w:val="22"/>
        </w:rPr>
        <w:t>, Volume 6, Issue 1.DOI: 10.5281/zenodo.810432.</w:t>
      </w:r>
    </w:p>
    <w:p w:rsidR="001B3514" w:rsidRDefault="00782E3E">
      <w:pPr>
        <w:ind w:left="720" w:hanging="720"/>
        <w:rPr>
          <w:sz w:val="22"/>
        </w:rPr>
      </w:pPr>
      <w:r>
        <w:rPr>
          <w:sz w:val="22"/>
        </w:rPr>
        <w:t>Λαβδανίτη, Μ.  (2016): Η οικογένεια ως εμπόδιο στη συμμόρφωση των ασθενών με διαβήτη τύπου 2 στη θεραπευτική του αγωγή. Επιστημονικά Χρονικά. Τόμος 21ος. Τεύχος 3, 2016.</w:t>
      </w:r>
    </w:p>
    <w:p w:rsidR="001B3514" w:rsidRDefault="00782E3E">
      <w:pPr>
        <w:ind w:left="720" w:hanging="720"/>
        <w:rPr>
          <w:sz w:val="22"/>
        </w:rPr>
      </w:pPr>
      <w:r>
        <w:rPr>
          <w:sz w:val="22"/>
        </w:rPr>
        <w:t xml:space="preserve">Μαστρογιάννης, Δ., Γκεσούλη-Βολτυράκη, Ε., Μαντζώρου, Μ., Νούλα, Μ. &amp; Μιχαλίτση, Χ. (2011). Διερεύνηση της συμμόρφωσης υπερτασικών ασθενών σε ένα νοσοκομείο της Αθήνας. </w:t>
      </w:r>
      <w:r>
        <w:rPr>
          <w:i/>
          <w:iCs/>
          <w:sz w:val="22"/>
        </w:rPr>
        <w:t>Interscientific Health Care 3</w:t>
      </w:r>
      <w:r>
        <w:rPr>
          <w:sz w:val="22"/>
        </w:rPr>
        <w:t>(1): 14-23</w:t>
      </w:r>
    </w:p>
    <w:p w:rsidR="001B3514" w:rsidRDefault="00782E3E">
      <w:pPr>
        <w:ind w:left="720" w:hanging="720"/>
        <w:rPr>
          <w:sz w:val="22"/>
        </w:rPr>
      </w:pPr>
      <w:r>
        <w:rPr>
          <w:sz w:val="22"/>
        </w:rPr>
        <w:t>Μπίμπη, Μ.(2018): Η ελλιπής φαρμακευτική συμμόρφωση «βαρίδι» για συστήματα Υγείας. https://www.timesnews.gr</w:t>
      </w:r>
    </w:p>
    <w:p w:rsidR="001B3514" w:rsidRDefault="00782E3E">
      <w:pPr>
        <w:ind w:left="720" w:hanging="720"/>
        <w:rPr>
          <w:sz w:val="22"/>
        </w:rPr>
      </w:pPr>
      <w:r>
        <w:rPr>
          <w:sz w:val="22"/>
        </w:rPr>
        <w:t>Μπισκανάκη, Ε. (Η συμμόρφωση ασθενών στη φαρμακευτική αγωγή: μια πρόκληση στις υπηρεσίες υγείας.www.MedicalManage.gr</w:t>
      </w:r>
    </w:p>
    <w:p w:rsidR="001B3514" w:rsidRDefault="00782E3E">
      <w:pPr>
        <w:ind w:left="720" w:hanging="720"/>
        <w:rPr>
          <w:sz w:val="22"/>
        </w:rPr>
      </w:pPr>
      <w:r>
        <w:rPr>
          <w:sz w:val="22"/>
        </w:rPr>
        <w:t>Παπαδάτου, Δ Αναγνωστόπουλος, Φ. (2012) : Η Ψυχολογία στο χώρο της Υγείας. Εκδ. Παπαζήση. Αθήνα.</w:t>
      </w:r>
    </w:p>
    <w:p w:rsidR="001B3514" w:rsidRDefault="00782E3E">
      <w:pPr>
        <w:ind w:left="720" w:hanging="720"/>
      </w:pPr>
      <w:r>
        <w:rPr>
          <w:sz w:val="22"/>
        </w:rPr>
        <w:t>Πάσχος, Κ. : Η αποτελεσματική διαχείριση του στρες στους χρόνιους ασθενείς</w:t>
      </w:r>
      <w:r w:rsidR="00F7158D">
        <w:rPr>
          <w:sz w:val="22"/>
        </w:rPr>
        <w:t>,</w:t>
      </w:r>
      <w:r>
        <w:rPr>
          <w:sz w:val="22"/>
        </w:rPr>
        <w:t xml:space="preserve"> η συμβολή της κοινωνικής υποστήριξης και η προσφορά των επαγγελματιών υγείας. Μεταπτυχιακό Πρόγραμμα Διοίκησης Μονάδων Υγείας ΕΑΠ, Χειρουργική Κλινική</w:t>
      </w:r>
      <w:r w:rsidR="00F7158D">
        <w:rPr>
          <w:sz w:val="22"/>
        </w:rPr>
        <w:t>,</w:t>
      </w:r>
      <w:r>
        <w:rPr>
          <w:sz w:val="22"/>
        </w:rPr>
        <w:t xml:space="preserve"> Γ. Ν. Δράμας.Επιστημονικά Χρονικά 2018, τόμος 23</w:t>
      </w:r>
      <w:r>
        <w:rPr>
          <w:sz w:val="22"/>
          <w:vertAlign w:val="superscript"/>
        </w:rPr>
        <w:t xml:space="preserve">ος  </w:t>
      </w:r>
      <w:r>
        <w:rPr>
          <w:sz w:val="22"/>
        </w:rPr>
        <w:t>τεύχος 2</w:t>
      </w:r>
      <w:r>
        <w:rPr>
          <w:sz w:val="22"/>
          <w:vertAlign w:val="superscript"/>
        </w:rPr>
        <w:t>ο</w:t>
      </w:r>
      <w:r>
        <w:rPr>
          <w:sz w:val="22"/>
        </w:rPr>
        <w:t>.</w:t>
      </w:r>
    </w:p>
    <w:p w:rsidR="001B3514" w:rsidRDefault="00782E3E">
      <w:pPr>
        <w:ind w:left="720" w:hanging="720"/>
        <w:rPr>
          <w:sz w:val="22"/>
        </w:rPr>
      </w:pPr>
      <w:r>
        <w:rPr>
          <w:sz w:val="22"/>
        </w:rPr>
        <w:t>Ποντισίδης, Γ Μπελλάλη, Θ.  (2015): Η Εννοια της Κοινωνικής Υποστήριξης και η Επίδρασή της στη Διαχείριση των Χρόνιων Νόσων. Ελληνικό Περιοδικό της Νοσηλευτικής Επιστήμης 2015, 8(4): 6-16</w:t>
      </w:r>
    </w:p>
    <w:p w:rsidR="001B3514" w:rsidRDefault="00782E3E">
      <w:pPr>
        <w:ind w:left="720" w:hanging="720"/>
        <w:rPr>
          <w:sz w:val="22"/>
        </w:rPr>
      </w:pPr>
      <w:r>
        <w:rPr>
          <w:sz w:val="22"/>
        </w:rPr>
        <w:lastRenderedPageBreak/>
        <w:t>Τσιαδής, Β.  (2013):</w:t>
      </w:r>
      <w:r w:rsidR="000E2DA8" w:rsidRPr="000E2DA8">
        <w:rPr>
          <w:sz w:val="22"/>
        </w:rPr>
        <w:t xml:space="preserve"> </w:t>
      </w:r>
      <w:r>
        <w:rPr>
          <w:sz w:val="22"/>
        </w:rPr>
        <w:t>Τρόποι συμμόρφωσης και παρακολούθησης ασθενών μέσω mobile εφαρμογών.-Ανάπτυξη σε πλατφόρμα-Android.Διπλωματική Εργασία. ΕΜΠ. Σχολή Ηλεκτρολόγων Μηχανικών και Μηχανικών Υπολογιστών.</w:t>
      </w:r>
    </w:p>
    <w:p w:rsidR="001B3514" w:rsidRDefault="00782E3E">
      <w:pPr>
        <w:ind w:left="720" w:hanging="720"/>
        <w:rPr>
          <w:sz w:val="22"/>
        </w:rPr>
      </w:pPr>
      <w:r>
        <w:rPr>
          <w:sz w:val="22"/>
        </w:rPr>
        <w:t>Υφαντόπουλος, Ι. (2018):’Ερευνα: 2 στους 3 ασθενείς δεν ακολουθούν τις οδηγίες του γιατρού.http://www.mononews.gr</w:t>
      </w:r>
    </w:p>
    <w:p w:rsidR="001B3514" w:rsidRDefault="00782E3E">
      <w:pPr>
        <w:ind w:left="720" w:hanging="720"/>
        <w:rPr>
          <w:sz w:val="22"/>
        </w:rPr>
      </w:pPr>
      <w:r>
        <w:rPr>
          <w:sz w:val="22"/>
        </w:rPr>
        <w:t>Χαλκιοπούλου Μελισσά, Γ</w:t>
      </w:r>
      <w:r w:rsidR="000E2DA8" w:rsidRPr="000E2DA8">
        <w:rPr>
          <w:sz w:val="22"/>
        </w:rPr>
        <w:t>.</w:t>
      </w:r>
      <w:r>
        <w:rPr>
          <w:sz w:val="22"/>
        </w:rPr>
        <w:t xml:space="preserve"> (1990 ): Ψυχολογία της Υγείας. Εκδ. Ιδιωτική.</w:t>
      </w:r>
    </w:p>
    <w:p w:rsidR="001B3514" w:rsidRDefault="00782E3E">
      <w:pPr>
        <w:ind w:left="720" w:hanging="720"/>
        <w:rPr>
          <w:sz w:val="22"/>
          <w:lang w:val="en-US"/>
        </w:rPr>
      </w:pPr>
      <w:r>
        <w:rPr>
          <w:sz w:val="22"/>
        </w:rPr>
        <w:t xml:space="preserve">Χοβαρδά, Ε. &amp; Κατσαλιάκη, Κ. (2015). Αντιλήψεις και αξιολόγηση ιατρών και ασθενών αναφορικά με τη ρύθμιση της αρτηριακής υπέρτασης στην πρωτοβάθμια φροντίδα υγείας. </w:t>
      </w:r>
      <w:r>
        <w:rPr>
          <w:i/>
          <w:iCs/>
          <w:sz w:val="22"/>
          <w:lang w:val="en-US"/>
        </w:rPr>
        <w:t>Αρχεία Ελληνικής Ιατρικής, 32</w:t>
      </w:r>
      <w:r>
        <w:rPr>
          <w:sz w:val="22"/>
          <w:lang w:val="en-US"/>
        </w:rPr>
        <w:t>(5):592-603</w:t>
      </w:r>
    </w:p>
    <w:p w:rsidR="001B3514" w:rsidRDefault="001B3514">
      <w:pPr>
        <w:ind w:left="720" w:hanging="720"/>
        <w:rPr>
          <w:sz w:val="22"/>
          <w:lang w:val="en-US"/>
        </w:rPr>
      </w:pPr>
    </w:p>
    <w:p w:rsidR="001B3514" w:rsidRDefault="00782E3E">
      <w:pPr>
        <w:pStyle w:val="2"/>
        <w:rPr>
          <w:lang w:val="en-US"/>
        </w:rPr>
      </w:pPr>
      <w:bookmarkStart w:id="81" w:name="_Toc64641782"/>
      <w:r>
        <w:t>Ξενόγλωσση</w:t>
      </w:r>
      <w:r>
        <w:rPr>
          <w:lang w:val="en-US"/>
        </w:rPr>
        <w:t xml:space="preserve"> </w:t>
      </w:r>
      <w:r>
        <w:t>βιβλιογραφία</w:t>
      </w:r>
      <w:bookmarkEnd w:id="81"/>
    </w:p>
    <w:p w:rsidR="001B3514" w:rsidRDefault="00782E3E">
      <w:pPr>
        <w:ind w:left="720" w:hanging="720"/>
        <w:rPr>
          <w:sz w:val="22"/>
          <w:lang w:val="en-US"/>
        </w:rPr>
      </w:pPr>
      <w:r>
        <w:rPr>
          <w:sz w:val="22"/>
          <w:lang w:val="en-US"/>
        </w:rPr>
        <w:t xml:space="preserve">Alonso-Dominguez R, Garcia-Ortiz L, Patino-alonso MC, Sanchez-Aguadero N, Gomez-Marcos MA, Recio-Rodriguez JL (2019): </w:t>
      </w:r>
      <w:r>
        <w:rPr>
          <w:i/>
          <w:iCs/>
          <w:sz w:val="22"/>
          <w:lang w:val="en-US"/>
        </w:rPr>
        <w:t>Effectivenes of Multi Factional Intervention In Increasing Adherence to the Mediteranean Diet among Patients with Diabetes Mellitus Type 2: A Controlled and Randomized Study (EMID STUDY).</w:t>
      </w:r>
      <w:r>
        <w:rPr>
          <w:sz w:val="22"/>
          <w:lang w:val="en-US"/>
        </w:rPr>
        <w:t>2019 Jan 14, 11 (1). Pii; E162.doi: 10.3390/nu11010162.</w:t>
      </w:r>
    </w:p>
    <w:p w:rsidR="001B3514" w:rsidRDefault="00782E3E">
      <w:pPr>
        <w:ind w:left="720" w:hanging="720"/>
        <w:rPr>
          <w:sz w:val="22"/>
          <w:lang w:val="en-US"/>
        </w:rPr>
      </w:pPr>
      <w:r>
        <w:rPr>
          <w:sz w:val="22"/>
          <w:lang w:val="en-US"/>
        </w:rPr>
        <w:t xml:space="preserve">Arshad, AR. (2015). Frequency of poor adherence to antihypertensive treatment and an analysis of clinic-demographic correlates. </w:t>
      </w:r>
      <w:r>
        <w:rPr>
          <w:i/>
          <w:iCs/>
          <w:sz w:val="22"/>
          <w:lang w:val="en-US"/>
        </w:rPr>
        <w:t>Journal of the College of Physicians and Surgeons Pakistan, 25</w:t>
      </w:r>
      <w:r>
        <w:rPr>
          <w:sz w:val="22"/>
          <w:lang w:val="en-US"/>
        </w:rPr>
        <w:t>(12):911-913</w:t>
      </w:r>
    </w:p>
    <w:p w:rsidR="001B3514" w:rsidRDefault="00782E3E">
      <w:pPr>
        <w:ind w:left="720" w:hanging="720"/>
        <w:rPr>
          <w:sz w:val="22"/>
          <w:lang w:val="en-US"/>
        </w:rPr>
      </w:pPr>
      <w:r>
        <w:rPr>
          <w:sz w:val="22"/>
          <w:lang w:val="en-US"/>
        </w:rPr>
        <w:t>Beata</w:t>
      </w:r>
      <w:r w:rsidR="00F7158D">
        <w:rPr>
          <w:sz w:val="22"/>
          <w:lang w:val="en-US"/>
        </w:rPr>
        <w:t>,</w:t>
      </w:r>
      <w:r>
        <w:rPr>
          <w:sz w:val="22"/>
          <w:lang w:val="en-US"/>
        </w:rPr>
        <w:t>Jankowska-Polanska  Lomper, Katarzyna Alberska</w:t>
      </w:r>
      <w:r w:rsidR="00F7158D">
        <w:rPr>
          <w:sz w:val="22"/>
          <w:lang w:val="en-US"/>
        </w:rPr>
        <w:t xml:space="preserve">, </w:t>
      </w:r>
      <w:r>
        <w:rPr>
          <w:sz w:val="22"/>
          <w:lang w:val="en-US"/>
        </w:rPr>
        <w:t>Lidia Jaroch</w:t>
      </w:r>
      <w:r w:rsidR="00F7158D">
        <w:rPr>
          <w:sz w:val="22"/>
          <w:lang w:val="en-US"/>
        </w:rPr>
        <w:t xml:space="preserve"> </w:t>
      </w:r>
      <w:r>
        <w:rPr>
          <w:sz w:val="22"/>
          <w:lang w:val="en-US"/>
        </w:rPr>
        <w:t>Joanna,, Krzysztof, Dudek Uchmanowicz, Izabella (2016): Cognitive function and adherence to anticoagulation treatment in patients with atrial fibrillation.</w:t>
      </w:r>
      <w:r>
        <w:rPr>
          <w:i/>
          <w:iCs/>
          <w:sz w:val="22"/>
          <w:lang w:val="en-US"/>
        </w:rPr>
        <w:t>J Geriatr Cardiol, (13)</w:t>
      </w:r>
      <w:r>
        <w:rPr>
          <w:sz w:val="22"/>
          <w:lang w:val="en-US"/>
        </w:rPr>
        <w:t xml:space="preserve"> 559-565. Doi: 10: 10.11909/j.issn.1671-5411.2016.07.006</w:t>
      </w:r>
    </w:p>
    <w:p w:rsidR="001B3514" w:rsidRDefault="00782E3E">
      <w:pPr>
        <w:ind w:left="720" w:hanging="720"/>
        <w:rPr>
          <w:sz w:val="22"/>
          <w:lang w:val="en-US"/>
        </w:rPr>
      </w:pPr>
      <w:r>
        <w:rPr>
          <w:sz w:val="22"/>
          <w:lang w:val="en-US"/>
        </w:rPr>
        <w:t>Bullinger, M (2015) Zur Messbarkeit von Lebensqualitaet .Lebensqualitaet in der Medizin pp 175-188. Springer.</w:t>
      </w:r>
    </w:p>
    <w:p w:rsidR="001B3514" w:rsidRDefault="00782E3E">
      <w:pPr>
        <w:ind w:left="720" w:hanging="720"/>
        <w:rPr>
          <w:sz w:val="22"/>
          <w:lang w:val="en-US"/>
        </w:rPr>
      </w:pPr>
      <w:r>
        <w:rPr>
          <w:sz w:val="22"/>
          <w:lang w:val="en-US"/>
        </w:rPr>
        <w:t>Center for Chronic Disease Prevention and Control (CCDPC) (2006). What are chronic and non- communicable diseases? Ottawa, ON : Public Health Agency of Canada.</w:t>
      </w:r>
    </w:p>
    <w:p w:rsidR="001B3514" w:rsidRDefault="00782E3E">
      <w:pPr>
        <w:ind w:left="720" w:hanging="720"/>
        <w:rPr>
          <w:sz w:val="22"/>
          <w:lang w:val="en-US"/>
        </w:rPr>
      </w:pPr>
      <w:r>
        <w:rPr>
          <w:sz w:val="22"/>
          <w:lang w:val="en-US"/>
        </w:rPr>
        <w:t>Demitriou, E. C. (1986). To E</w:t>
      </w:r>
      <w:r>
        <w:rPr>
          <w:sz w:val="22"/>
        </w:rPr>
        <w:t>ρ</w:t>
      </w:r>
      <w:r>
        <w:rPr>
          <w:sz w:val="22"/>
          <w:lang w:val="en-US"/>
        </w:rPr>
        <w:t>ωτηματολόγιο Пoοσωπι</w:t>
      </w:r>
      <w:r>
        <w:rPr>
          <w:sz w:val="22"/>
        </w:rPr>
        <w:t>κ</w:t>
      </w:r>
      <w:r>
        <w:rPr>
          <w:sz w:val="22"/>
          <w:lang w:val="en-US"/>
        </w:rPr>
        <w:t>ότητας EPQ (Eysenck Personality Questionnaire): Στάθμιση στον Eλληνι</w:t>
      </w:r>
      <w:r>
        <w:rPr>
          <w:sz w:val="22"/>
        </w:rPr>
        <w:t>κ</w:t>
      </w:r>
      <w:r>
        <w:rPr>
          <w:sz w:val="22"/>
          <w:lang w:val="en-US"/>
        </w:rPr>
        <w:t>ό Пληθ</w:t>
      </w:r>
      <w:r>
        <w:rPr>
          <w:sz w:val="22"/>
        </w:rPr>
        <w:t>υ</w:t>
      </w:r>
      <w:r>
        <w:rPr>
          <w:sz w:val="22"/>
          <w:lang w:val="en-US"/>
        </w:rPr>
        <w:t>σμό, ενήλι</w:t>
      </w:r>
      <w:r>
        <w:rPr>
          <w:sz w:val="22"/>
        </w:rPr>
        <w:t>κ</w:t>
      </w:r>
      <w:r>
        <w:rPr>
          <w:sz w:val="22"/>
          <w:lang w:val="en-US"/>
        </w:rPr>
        <w:t xml:space="preserve">o </w:t>
      </w:r>
      <w:r>
        <w:rPr>
          <w:sz w:val="22"/>
        </w:rPr>
        <w:t>κ</w:t>
      </w:r>
      <w:r>
        <w:rPr>
          <w:sz w:val="22"/>
          <w:lang w:val="en-US"/>
        </w:rPr>
        <w:t>αι παιδι</w:t>
      </w:r>
      <w:r>
        <w:rPr>
          <w:sz w:val="22"/>
        </w:rPr>
        <w:t>κ</w:t>
      </w:r>
      <w:r>
        <w:rPr>
          <w:sz w:val="22"/>
          <w:lang w:val="en-US"/>
        </w:rPr>
        <w:t xml:space="preserve">ό [The Eysenck </w:t>
      </w:r>
      <w:r>
        <w:rPr>
          <w:sz w:val="22"/>
          <w:lang w:val="en-US"/>
        </w:rPr>
        <w:lastRenderedPageBreak/>
        <w:t xml:space="preserve">Personality Questionnaire (EPQ): The validity of the Greek adult and junior version]. </w:t>
      </w:r>
      <w:r>
        <w:rPr>
          <w:i/>
          <w:iCs/>
          <w:sz w:val="22"/>
          <w:lang w:val="en-US"/>
        </w:rPr>
        <w:t>Eγ</w:t>
      </w:r>
      <w:r>
        <w:rPr>
          <w:i/>
          <w:iCs/>
          <w:sz w:val="22"/>
        </w:rPr>
        <w:t>κ</w:t>
      </w:r>
      <w:r>
        <w:rPr>
          <w:i/>
          <w:iCs/>
          <w:sz w:val="22"/>
          <w:lang w:val="en-US"/>
        </w:rPr>
        <w:t>έφαλoς, 23</w:t>
      </w:r>
      <w:r>
        <w:rPr>
          <w:sz w:val="22"/>
          <w:lang w:val="en-US"/>
        </w:rPr>
        <w:t>, 41-54.</w:t>
      </w:r>
    </w:p>
    <w:p w:rsidR="001B3514" w:rsidRDefault="00782E3E">
      <w:pPr>
        <w:ind w:left="720" w:hanging="720"/>
        <w:rPr>
          <w:i/>
          <w:iCs/>
          <w:sz w:val="22"/>
          <w:lang w:val="en-US"/>
        </w:rPr>
      </w:pPr>
      <w:r>
        <w:rPr>
          <w:sz w:val="22"/>
          <w:lang w:val="en-US"/>
        </w:rPr>
        <w:t xml:space="preserve">Derogatis, L. R., Lipman, R. S., &amp; Covi, L. (1977). SCL-90. </w:t>
      </w:r>
      <w:r>
        <w:rPr>
          <w:i/>
          <w:iCs/>
          <w:sz w:val="22"/>
          <w:lang w:val="en-US"/>
        </w:rPr>
        <w:t>Administration, scoring and procedures manual-I for the R (revised) version and other instruments of the Psychopathology Rating Scales Series. Chicago: Johns Hopkins University School of Medicine.</w:t>
      </w:r>
    </w:p>
    <w:p w:rsidR="001B3514" w:rsidRDefault="00782E3E">
      <w:pPr>
        <w:ind w:left="720" w:hanging="720"/>
        <w:rPr>
          <w:sz w:val="22"/>
          <w:lang w:val="en-US"/>
        </w:rPr>
      </w:pPr>
      <w:r>
        <w:rPr>
          <w:sz w:val="22"/>
          <w:lang w:val="en-US"/>
        </w:rPr>
        <w:t>Devasia T</w:t>
      </w:r>
      <w:r w:rsidR="00F7158D">
        <w:rPr>
          <w:sz w:val="22"/>
          <w:lang w:val="en-US"/>
        </w:rPr>
        <w:t>,</w:t>
      </w:r>
      <w:r>
        <w:rPr>
          <w:sz w:val="22"/>
          <w:lang w:val="en-US"/>
        </w:rPr>
        <w:t xml:space="preserve"> Shetty PN</w:t>
      </w:r>
      <w:r w:rsidR="00F7158D">
        <w:rPr>
          <w:sz w:val="22"/>
          <w:lang w:val="en-US"/>
        </w:rPr>
        <w:t>,</w:t>
      </w:r>
      <w:r>
        <w:rPr>
          <w:sz w:val="22"/>
          <w:lang w:val="en-US"/>
        </w:rPr>
        <w:t xml:space="preserve"> Kareem H,, Karkala YR</w:t>
      </w:r>
      <w:r w:rsidR="00F7158D">
        <w:rPr>
          <w:sz w:val="22"/>
          <w:lang w:val="en-US"/>
        </w:rPr>
        <w:t xml:space="preserve">, </w:t>
      </w:r>
      <w:r>
        <w:rPr>
          <w:sz w:val="22"/>
          <w:lang w:val="en-US"/>
        </w:rPr>
        <w:t>Singh A.(2018): Manipallifestyle modification score to predict major adherence cardiac events in postcoronary anjoplasty patients.</w:t>
      </w:r>
      <w:r>
        <w:rPr>
          <w:i/>
          <w:iCs/>
          <w:sz w:val="22"/>
          <w:lang w:val="en-US"/>
        </w:rPr>
        <w:t>Indian Heart J.</w:t>
      </w:r>
      <w:r>
        <w:rPr>
          <w:sz w:val="22"/>
          <w:lang w:val="en-US"/>
        </w:rPr>
        <w:t xml:space="preserve"> 2018 Dec. 70 Suppl 3:S353-S358. Doi: 10.1016/ j,ihj.2018. 10.411. Epub 2018 Oct 3.</w:t>
      </w:r>
    </w:p>
    <w:p w:rsidR="001B3514" w:rsidRDefault="00782E3E">
      <w:pPr>
        <w:ind w:left="720" w:hanging="720"/>
        <w:rPr>
          <w:sz w:val="22"/>
          <w:lang w:val="en-US"/>
        </w:rPr>
      </w:pPr>
      <w:r>
        <w:rPr>
          <w:sz w:val="22"/>
          <w:lang w:val="en-US"/>
        </w:rPr>
        <w:t>DiMatteo, M., Robin, Martin</w:t>
      </w:r>
      <w:r w:rsidR="00F7158D">
        <w:rPr>
          <w:sz w:val="22"/>
          <w:lang w:val="en-US"/>
        </w:rPr>
        <w:t>,</w:t>
      </w:r>
      <w:r>
        <w:rPr>
          <w:sz w:val="22"/>
          <w:lang w:val="en-US"/>
        </w:rPr>
        <w:t xml:space="preserve">R. Leslie (2011). </w:t>
      </w:r>
      <w:r>
        <w:rPr>
          <w:i/>
          <w:iCs/>
          <w:sz w:val="22"/>
        </w:rPr>
        <w:t>Εισαγωγή στην Ψυχολογία της Υγείας</w:t>
      </w:r>
      <w:r>
        <w:rPr>
          <w:sz w:val="22"/>
        </w:rPr>
        <w:t>.  Εκδ</w:t>
      </w:r>
      <w:r>
        <w:rPr>
          <w:sz w:val="22"/>
          <w:lang w:val="en-US"/>
        </w:rPr>
        <w:t xml:space="preserve">. </w:t>
      </w:r>
      <w:r>
        <w:rPr>
          <w:sz w:val="22"/>
        </w:rPr>
        <w:t>Πεδίο</w:t>
      </w:r>
      <w:r>
        <w:rPr>
          <w:sz w:val="22"/>
          <w:lang w:val="en-US"/>
        </w:rPr>
        <w:t>.</w:t>
      </w:r>
    </w:p>
    <w:p w:rsidR="001B3514" w:rsidRDefault="00782E3E">
      <w:pPr>
        <w:ind w:left="720" w:hanging="720"/>
        <w:rPr>
          <w:sz w:val="22"/>
          <w:lang w:val="en-US"/>
        </w:rPr>
      </w:pPr>
      <w:r>
        <w:rPr>
          <w:sz w:val="22"/>
          <w:lang w:val="en-US"/>
        </w:rPr>
        <w:t xml:space="preserve">Eysenck, H.J., &amp; Eysenck, S.B.G. (1975). </w:t>
      </w:r>
      <w:r>
        <w:rPr>
          <w:i/>
          <w:iCs/>
          <w:sz w:val="22"/>
          <w:lang w:val="en-US"/>
        </w:rPr>
        <w:t>Manual of the Eysenck Personality Questionnaire</w:t>
      </w:r>
      <w:r>
        <w:rPr>
          <w:sz w:val="22"/>
          <w:lang w:val="en-US"/>
        </w:rPr>
        <w:t>. London: Hodder &amp; Stoughton.</w:t>
      </w:r>
    </w:p>
    <w:p w:rsidR="001B3514" w:rsidRDefault="00782E3E">
      <w:pPr>
        <w:ind w:left="720" w:hanging="720"/>
        <w:rPr>
          <w:sz w:val="22"/>
          <w:lang w:val="en-US"/>
        </w:rPr>
      </w:pPr>
      <w:r>
        <w:rPr>
          <w:sz w:val="22"/>
          <w:lang w:val="en-US"/>
        </w:rPr>
        <w:t>Georges, C., Berra, E., Capron, A., Petit, G De Timary, P Wallemacp, P Persu, A. (2017): Assessment of Drug Adherence and Psychological Profile in Patients with Apparently Treatment- Resistant Hypertension .</w:t>
      </w:r>
      <w:r>
        <w:rPr>
          <w:i/>
          <w:iCs/>
          <w:sz w:val="22"/>
          <w:lang w:val="en-US"/>
        </w:rPr>
        <w:t>Journal of Hypertension</w:t>
      </w:r>
      <w:r>
        <w:rPr>
          <w:sz w:val="22"/>
          <w:lang w:val="en-US"/>
        </w:rPr>
        <w:t xml:space="preserve"> </w:t>
      </w:r>
      <w:r>
        <w:rPr>
          <w:i/>
          <w:iCs/>
          <w:sz w:val="22"/>
          <w:lang w:val="en-US"/>
        </w:rPr>
        <w:t>(35)</w:t>
      </w:r>
      <w:r>
        <w:rPr>
          <w:sz w:val="22"/>
          <w:lang w:val="en-US"/>
        </w:rPr>
        <w:t xml:space="preserve"> 16 –17.</w:t>
      </w:r>
    </w:p>
    <w:p w:rsidR="001B3514" w:rsidRDefault="00782E3E">
      <w:pPr>
        <w:ind w:left="720" w:hanging="720"/>
        <w:rPr>
          <w:sz w:val="22"/>
          <w:lang w:val="en-US"/>
        </w:rPr>
      </w:pPr>
      <w:r>
        <w:rPr>
          <w:sz w:val="22"/>
          <w:lang w:val="en-US"/>
        </w:rPr>
        <w:t xml:space="preserve">Gotlib, I.H., Ranganath, C., Rosenfeld, J.P., 1998. Frontal EEG asymmetry, depression, and cognitive functioning. </w:t>
      </w:r>
      <w:r>
        <w:rPr>
          <w:i/>
          <w:iCs/>
          <w:sz w:val="22"/>
          <w:lang w:val="en-US"/>
        </w:rPr>
        <w:t>Cognition and Emotion 12</w:t>
      </w:r>
      <w:r>
        <w:rPr>
          <w:sz w:val="22"/>
          <w:lang w:val="en-US"/>
        </w:rPr>
        <w:t>, 449–478.</w:t>
      </w:r>
    </w:p>
    <w:p w:rsidR="001B3514" w:rsidRDefault="00782E3E">
      <w:pPr>
        <w:ind w:left="720" w:hanging="720"/>
        <w:rPr>
          <w:sz w:val="22"/>
          <w:lang w:val="en-US"/>
        </w:rPr>
      </w:pPr>
      <w:r>
        <w:rPr>
          <w:sz w:val="22"/>
          <w:lang w:val="en-US"/>
        </w:rPr>
        <w:t xml:space="preserve">Henriques, J.B., Davidson, R.J., 1990. Regional brain electrical asymmetries discriminate between previously depressed and healthy control subjects. </w:t>
      </w:r>
      <w:r>
        <w:rPr>
          <w:i/>
          <w:iCs/>
          <w:sz w:val="22"/>
          <w:lang w:val="en-US"/>
        </w:rPr>
        <w:t>Journal of Abnormal Psychology 99</w:t>
      </w:r>
      <w:r>
        <w:rPr>
          <w:sz w:val="22"/>
          <w:lang w:val="en-US"/>
        </w:rPr>
        <w:t xml:space="preserve"> (1), 22–31.</w:t>
      </w:r>
    </w:p>
    <w:p w:rsidR="001B3514" w:rsidRDefault="00782E3E">
      <w:pPr>
        <w:ind w:left="720" w:hanging="720"/>
        <w:rPr>
          <w:sz w:val="22"/>
          <w:lang w:val="en-US"/>
        </w:rPr>
      </w:pPr>
      <w:r>
        <w:rPr>
          <w:sz w:val="22"/>
          <w:lang w:val="en-US"/>
        </w:rPr>
        <w:t xml:space="preserve">Horne, R., Weinman, J., &amp; Hankins, M. (1999). The beliefs about medicines questionnaire: the development and evaluation of a new method for assessing the cognitive representation of medication. </w:t>
      </w:r>
      <w:r>
        <w:rPr>
          <w:i/>
          <w:iCs/>
          <w:sz w:val="22"/>
          <w:lang w:val="en-US"/>
        </w:rPr>
        <w:t>Psychology and health, 14</w:t>
      </w:r>
      <w:r>
        <w:rPr>
          <w:sz w:val="22"/>
          <w:lang w:val="en-US"/>
        </w:rPr>
        <w:t>(1), 1-24.</w:t>
      </w:r>
    </w:p>
    <w:p w:rsidR="001B3514" w:rsidRDefault="00782E3E">
      <w:pPr>
        <w:ind w:left="720" w:hanging="720"/>
        <w:rPr>
          <w:sz w:val="22"/>
          <w:lang w:val="en-US"/>
        </w:rPr>
      </w:pPr>
      <w:r>
        <w:rPr>
          <w:sz w:val="22"/>
          <w:lang w:val="en-US"/>
        </w:rPr>
        <w:t xml:space="preserve">Hu, HH., Li, G. &amp; Arao, T. (2015). The association of family social support, depression, anxiety and self-efficacy with specific hypertension self-care behaviours in Chinese local community. </w:t>
      </w:r>
      <w:r>
        <w:rPr>
          <w:i/>
          <w:iCs/>
          <w:sz w:val="22"/>
          <w:lang w:val="en-US"/>
        </w:rPr>
        <w:t>Journal of Human Hypertension, 29</w:t>
      </w:r>
      <w:r>
        <w:rPr>
          <w:sz w:val="22"/>
          <w:lang w:val="en-US"/>
        </w:rPr>
        <w:t>(3):198-203.</w:t>
      </w:r>
    </w:p>
    <w:p w:rsidR="001B3514" w:rsidRDefault="00782E3E">
      <w:pPr>
        <w:ind w:left="720" w:hanging="720"/>
        <w:rPr>
          <w:sz w:val="22"/>
          <w:lang w:val="en-US"/>
        </w:rPr>
      </w:pPr>
      <w:r>
        <w:rPr>
          <w:sz w:val="22"/>
          <w:lang w:val="en-US"/>
        </w:rPr>
        <w:t xml:space="preserve">Huang, S., Chen, Y., Zhou, J. &amp; Wang, J. (2014). Use of family member-based supervision in the management of patients with hypertension in rural China. </w:t>
      </w:r>
      <w:r>
        <w:rPr>
          <w:i/>
          <w:iCs/>
          <w:sz w:val="22"/>
          <w:lang w:val="en-US"/>
        </w:rPr>
        <w:t>Patient preference and adherence, 8</w:t>
      </w:r>
      <w:r>
        <w:rPr>
          <w:sz w:val="22"/>
          <w:lang w:val="en-US"/>
        </w:rPr>
        <w:t>:1035-1042</w:t>
      </w:r>
    </w:p>
    <w:p w:rsidR="00276045" w:rsidRDefault="00782E3E">
      <w:pPr>
        <w:ind w:left="720" w:hanging="720"/>
        <w:rPr>
          <w:lang w:val="en-US"/>
        </w:rPr>
      </w:pPr>
      <w:r>
        <w:rPr>
          <w:sz w:val="22"/>
          <w:lang w:val="en-US"/>
        </w:rPr>
        <w:lastRenderedPageBreak/>
        <w:t>Hussain, S.</w:t>
      </w:r>
      <w:r w:rsidR="00F7158D">
        <w:rPr>
          <w:sz w:val="22"/>
          <w:lang w:val="en-US"/>
        </w:rPr>
        <w:t xml:space="preserve">, </w:t>
      </w:r>
      <w:r>
        <w:rPr>
          <w:sz w:val="22"/>
          <w:lang w:val="en-US"/>
        </w:rPr>
        <w:t>Jamal, SZ.,</w:t>
      </w:r>
      <w:r w:rsidR="00F7158D">
        <w:rPr>
          <w:sz w:val="22"/>
          <w:lang w:val="en-US"/>
        </w:rPr>
        <w:t xml:space="preserve"> </w:t>
      </w:r>
      <w:r>
        <w:rPr>
          <w:sz w:val="22"/>
          <w:lang w:val="en-US"/>
        </w:rPr>
        <w:t>Qadir, F. (2018): Medication Adherence in Post Myocardial Infraction Patients.2018 Okt-Dec,30 (4): 552-557.</w:t>
      </w:r>
      <w:r w:rsidR="00276045" w:rsidRPr="00276045">
        <w:rPr>
          <w:lang w:val="en-US"/>
        </w:rPr>
        <w:t xml:space="preserve"> </w:t>
      </w:r>
    </w:p>
    <w:p w:rsidR="001B3514" w:rsidRDefault="00276045">
      <w:pPr>
        <w:ind w:left="720" w:hanging="720"/>
        <w:rPr>
          <w:sz w:val="22"/>
          <w:lang w:val="en-US"/>
        </w:rPr>
      </w:pPr>
      <w:r w:rsidRPr="00276045">
        <w:rPr>
          <w:sz w:val="22"/>
          <w:lang w:val="en-US"/>
        </w:rPr>
        <w:t xml:space="preserve">Jin J, Sklar GE, Min Sen Oh V, Chuen Li S. </w:t>
      </w:r>
      <w:r>
        <w:rPr>
          <w:sz w:val="22"/>
          <w:lang w:val="en-US"/>
        </w:rPr>
        <w:t>(</w:t>
      </w:r>
      <w:r w:rsidRPr="00276045">
        <w:rPr>
          <w:sz w:val="22"/>
          <w:lang w:val="en-US"/>
        </w:rPr>
        <w:t>2008</w:t>
      </w:r>
      <w:r>
        <w:rPr>
          <w:sz w:val="22"/>
          <w:lang w:val="en-US"/>
        </w:rPr>
        <w:t>):</w:t>
      </w:r>
      <w:r w:rsidRPr="00276045">
        <w:rPr>
          <w:sz w:val="22"/>
          <w:lang w:val="en-US"/>
        </w:rPr>
        <w:t xml:space="preserve"> Factors affecting therapeutic compliance: A review from the patient's perspective. </w:t>
      </w:r>
      <w:r w:rsidRPr="00276045">
        <w:rPr>
          <w:i/>
          <w:iCs/>
          <w:sz w:val="22"/>
          <w:lang w:val="en-US"/>
        </w:rPr>
        <w:t>Ther Clin Risk Manag,</w:t>
      </w:r>
      <w:r w:rsidRPr="00276045">
        <w:rPr>
          <w:sz w:val="22"/>
          <w:lang w:val="en-US"/>
        </w:rPr>
        <w:t xml:space="preserve"> 4:269-86.</w:t>
      </w:r>
    </w:p>
    <w:p w:rsidR="001B3514" w:rsidRDefault="00782E3E">
      <w:pPr>
        <w:ind w:left="720" w:hanging="720"/>
        <w:rPr>
          <w:sz w:val="22"/>
          <w:lang w:val="en-US"/>
        </w:rPr>
      </w:pPr>
      <w:r>
        <w:rPr>
          <w:sz w:val="22"/>
          <w:lang w:val="en-US"/>
        </w:rPr>
        <w:t>Jouleh B</w:t>
      </w:r>
      <w:r w:rsidR="00F7158D">
        <w:rPr>
          <w:sz w:val="22"/>
          <w:lang w:val="en-US"/>
        </w:rPr>
        <w:t>,</w:t>
      </w:r>
      <w:r>
        <w:rPr>
          <w:sz w:val="22"/>
          <w:lang w:val="en-US"/>
        </w:rPr>
        <w:t xml:space="preserve"> Erdal M</w:t>
      </w:r>
      <w:r w:rsidR="00F7158D">
        <w:rPr>
          <w:sz w:val="22"/>
          <w:lang w:val="en-US"/>
        </w:rPr>
        <w:t>,</w:t>
      </w:r>
      <w:r>
        <w:rPr>
          <w:sz w:val="22"/>
          <w:lang w:val="en-US"/>
        </w:rPr>
        <w:t xml:space="preserve"> Eagan TM, Bakke P, Gulsvik A,</w:t>
      </w:r>
      <w:r w:rsidR="00F7158D">
        <w:rPr>
          <w:sz w:val="22"/>
          <w:lang w:val="en-US"/>
        </w:rPr>
        <w:t xml:space="preserve"> </w:t>
      </w:r>
      <w:r>
        <w:rPr>
          <w:sz w:val="22"/>
          <w:lang w:val="en-US"/>
        </w:rPr>
        <w:t>Nielsen R.</w:t>
      </w:r>
      <w:r w:rsidR="00276045">
        <w:rPr>
          <w:sz w:val="22"/>
          <w:lang w:val="en-US"/>
        </w:rPr>
        <w:t xml:space="preserve"> </w:t>
      </w:r>
      <w:r>
        <w:rPr>
          <w:sz w:val="22"/>
          <w:lang w:val="en-US"/>
        </w:rPr>
        <w:t>(2018): Guideline adherence in hospital recuited and population based COPD patients.</w:t>
      </w:r>
      <w:r w:rsidR="00F7158D">
        <w:rPr>
          <w:sz w:val="22"/>
          <w:lang w:val="en-US"/>
        </w:rPr>
        <w:t xml:space="preserve"> </w:t>
      </w:r>
      <w:r>
        <w:rPr>
          <w:sz w:val="22"/>
          <w:lang w:val="en-US"/>
        </w:rPr>
        <w:t>BMC Pulm Med.2018 Dec20. 18(1): 195.doi:10.1186/s12890-018-0756-8</w:t>
      </w:r>
    </w:p>
    <w:p w:rsidR="001B3514" w:rsidRDefault="00782E3E">
      <w:pPr>
        <w:ind w:left="720" w:hanging="720"/>
        <w:rPr>
          <w:sz w:val="22"/>
          <w:lang w:val="en-US"/>
        </w:rPr>
      </w:pPr>
      <w:r>
        <w:rPr>
          <w:sz w:val="22"/>
          <w:lang w:val="en-US"/>
        </w:rPr>
        <w:t>Kadima</w:t>
      </w:r>
      <w:r w:rsidR="00F7158D">
        <w:rPr>
          <w:sz w:val="22"/>
          <w:lang w:val="en-US"/>
        </w:rPr>
        <w:t xml:space="preserve"> </w:t>
      </w:r>
      <w:r>
        <w:rPr>
          <w:sz w:val="22"/>
          <w:lang w:val="en-US"/>
        </w:rPr>
        <w:t>N</w:t>
      </w:r>
      <w:r w:rsidR="00F7158D">
        <w:rPr>
          <w:sz w:val="22"/>
          <w:lang w:val="en-US"/>
        </w:rPr>
        <w:t>,</w:t>
      </w:r>
      <w:r>
        <w:rPr>
          <w:sz w:val="22"/>
          <w:lang w:val="en-US"/>
        </w:rPr>
        <w:t xml:space="preserve"> Baldeh</w:t>
      </w:r>
      <w:r w:rsidR="00F7158D">
        <w:rPr>
          <w:sz w:val="22"/>
          <w:lang w:val="en-US"/>
        </w:rPr>
        <w:t xml:space="preserve"> </w:t>
      </w:r>
      <w:r>
        <w:rPr>
          <w:sz w:val="22"/>
          <w:lang w:val="en-US"/>
        </w:rPr>
        <w:t>T, Thin K, Thabane, L, Mbuagbaw,</w:t>
      </w:r>
      <w:r w:rsidR="00F7158D">
        <w:rPr>
          <w:sz w:val="22"/>
          <w:lang w:val="en-US"/>
        </w:rPr>
        <w:t xml:space="preserve"> </w:t>
      </w:r>
      <w:r>
        <w:rPr>
          <w:sz w:val="22"/>
          <w:lang w:val="en-US"/>
        </w:rPr>
        <w:t>L.</w:t>
      </w:r>
      <w:r w:rsidR="00F7158D">
        <w:rPr>
          <w:sz w:val="22"/>
          <w:lang w:val="en-US"/>
        </w:rPr>
        <w:t xml:space="preserve"> </w:t>
      </w:r>
      <w:r>
        <w:rPr>
          <w:sz w:val="22"/>
          <w:lang w:val="en-US"/>
        </w:rPr>
        <w:t>(2018):Evaluation of non-adherence to anti-retroviral therapy, the associated factors and infant outcomes HIV-positive pregnant women; a prospective cohort study in Lesoto.</w:t>
      </w:r>
      <w:r w:rsidR="00F7158D">
        <w:rPr>
          <w:sz w:val="22"/>
          <w:lang w:val="en-US"/>
        </w:rPr>
        <w:t xml:space="preserve"> </w:t>
      </w:r>
      <w:r>
        <w:rPr>
          <w:sz w:val="22"/>
          <w:lang w:val="en-US"/>
        </w:rPr>
        <w:t>Pan Afr Med J. 2018 31 Joul 30: 239.doi 10.11604/ pamj.2018.30.239.145.</w:t>
      </w:r>
    </w:p>
    <w:p w:rsidR="001B3514" w:rsidRDefault="00782E3E">
      <w:pPr>
        <w:ind w:left="720" w:hanging="720"/>
        <w:rPr>
          <w:sz w:val="22"/>
        </w:rPr>
      </w:pPr>
      <w:r>
        <w:rPr>
          <w:sz w:val="22"/>
          <w:lang w:val="en-US"/>
        </w:rPr>
        <w:t>Kichou B</w:t>
      </w:r>
      <w:r w:rsidR="00F7158D">
        <w:rPr>
          <w:sz w:val="22"/>
          <w:lang w:val="en-US"/>
        </w:rPr>
        <w:t>,</w:t>
      </w:r>
      <w:r>
        <w:rPr>
          <w:sz w:val="22"/>
          <w:lang w:val="en-US"/>
        </w:rPr>
        <w:t xml:space="preserve"> Henine N</w:t>
      </w:r>
      <w:r w:rsidR="00F7158D">
        <w:rPr>
          <w:sz w:val="22"/>
          <w:lang w:val="en-US"/>
        </w:rPr>
        <w:t>,</w:t>
      </w:r>
      <w:r>
        <w:rPr>
          <w:sz w:val="22"/>
          <w:lang w:val="en-US"/>
        </w:rPr>
        <w:t xml:space="preserve"> Kichou L Said, M. Ait</w:t>
      </w:r>
      <w:r w:rsidR="00F7158D">
        <w:rPr>
          <w:sz w:val="22"/>
          <w:lang w:val="en-US"/>
        </w:rPr>
        <w:t>,</w:t>
      </w:r>
      <w:r>
        <w:rPr>
          <w:sz w:val="22"/>
          <w:lang w:val="en-US"/>
        </w:rPr>
        <w:t xml:space="preserve"> Benbouabdellah, M Hacherouf</w:t>
      </w:r>
      <w:r w:rsidR="00F7158D">
        <w:rPr>
          <w:sz w:val="22"/>
          <w:lang w:val="en-US"/>
        </w:rPr>
        <w:t>,</w:t>
      </w:r>
      <w:r>
        <w:rPr>
          <w:sz w:val="22"/>
          <w:lang w:val="en-US"/>
        </w:rPr>
        <w:t xml:space="preserve"> S Mazeghrance, A. (2018) : Assessment of Addherence to Antihypertensive Drugs in Patients with Resistant Hypertension Receiving Optimal Treatment. </w:t>
      </w:r>
      <w:r>
        <w:rPr>
          <w:i/>
          <w:iCs/>
          <w:sz w:val="22"/>
          <w:lang w:val="en-US"/>
        </w:rPr>
        <w:t>Journal</w:t>
      </w:r>
      <w:r>
        <w:rPr>
          <w:i/>
          <w:iCs/>
          <w:sz w:val="22"/>
        </w:rPr>
        <w:t xml:space="preserve"> </w:t>
      </w:r>
      <w:r>
        <w:rPr>
          <w:i/>
          <w:iCs/>
          <w:sz w:val="22"/>
          <w:lang w:val="en-US"/>
        </w:rPr>
        <w:t>of</w:t>
      </w:r>
      <w:r>
        <w:rPr>
          <w:i/>
          <w:iCs/>
          <w:sz w:val="22"/>
        </w:rPr>
        <w:t xml:space="preserve"> </w:t>
      </w:r>
      <w:r>
        <w:rPr>
          <w:i/>
          <w:iCs/>
          <w:sz w:val="22"/>
          <w:lang w:val="en-US"/>
        </w:rPr>
        <w:t>Hypertension</w:t>
      </w:r>
      <w:r>
        <w:rPr>
          <w:i/>
          <w:iCs/>
          <w:sz w:val="22"/>
        </w:rPr>
        <w:t>:</w:t>
      </w:r>
      <w:r>
        <w:rPr>
          <w:sz w:val="22"/>
        </w:rPr>
        <w:t xml:space="preserve"> </w:t>
      </w:r>
      <w:r>
        <w:rPr>
          <w:sz w:val="22"/>
          <w:lang w:val="en-US"/>
        </w:rPr>
        <w:t>Volume</w:t>
      </w:r>
      <w:r>
        <w:rPr>
          <w:sz w:val="22"/>
        </w:rPr>
        <w:t xml:space="preserve"> 36- </w:t>
      </w:r>
      <w:r>
        <w:rPr>
          <w:sz w:val="22"/>
          <w:lang w:val="en-US"/>
        </w:rPr>
        <w:t>Issue</w:t>
      </w:r>
      <w:r>
        <w:rPr>
          <w:sz w:val="22"/>
        </w:rPr>
        <w:t xml:space="preserve"> -</w:t>
      </w:r>
      <w:r>
        <w:rPr>
          <w:sz w:val="22"/>
          <w:lang w:val="en-US"/>
        </w:rPr>
        <w:t>p</w:t>
      </w:r>
      <w:r>
        <w:rPr>
          <w:sz w:val="22"/>
        </w:rPr>
        <w:t xml:space="preserve"> </w:t>
      </w:r>
      <w:r>
        <w:rPr>
          <w:sz w:val="22"/>
          <w:lang w:val="en-US"/>
        </w:rPr>
        <w:t>e</w:t>
      </w:r>
      <w:r>
        <w:rPr>
          <w:sz w:val="22"/>
        </w:rPr>
        <w:t xml:space="preserve"> 64.</w:t>
      </w:r>
    </w:p>
    <w:p w:rsidR="001B3514" w:rsidRDefault="00782E3E">
      <w:pPr>
        <w:ind w:left="720" w:hanging="720"/>
        <w:rPr>
          <w:sz w:val="22"/>
        </w:rPr>
      </w:pPr>
      <w:r>
        <w:rPr>
          <w:sz w:val="22"/>
          <w:lang w:val="en-US"/>
        </w:rPr>
        <w:t>Koop</w:t>
      </w:r>
      <w:r>
        <w:rPr>
          <w:sz w:val="22"/>
        </w:rPr>
        <w:t xml:space="preserve">, </w:t>
      </w:r>
      <w:r>
        <w:rPr>
          <w:sz w:val="22"/>
          <w:lang w:val="en-US"/>
        </w:rPr>
        <w:t>E</w:t>
      </w:r>
      <w:r>
        <w:rPr>
          <w:sz w:val="22"/>
        </w:rPr>
        <w:t xml:space="preserve">. (1985): Τα φάρμακα δεν δουλεύουν σε ασθενείς που δεν τα παίρνουν. </w:t>
      </w:r>
      <w:r>
        <w:rPr>
          <w:sz w:val="22"/>
          <w:lang w:val="en-US"/>
        </w:rPr>
        <w:t>https</w:t>
      </w:r>
      <w:r>
        <w:rPr>
          <w:sz w:val="22"/>
        </w:rPr>
        <w:t>://</w:t>
      </w:r>
      <w:r>
        <w:rPr>
          <w:sz w:val="22"/>
          <w:lang w:val="en-US"/>
        </w:rPr>
        <w:t>www</w:t>
      </w:r>
      <w:r>
        <w:rPr>
          <w:sz w:val="22"/>
        </w:rPr>
        <w:t>.</w:t>
      </w:r>
      <w:r>
        <w:rPr>
          <w:sz w:val="22"/>
          <w:lang w:val="en-US"/>
        </w:rPr>
        <w:t>in</w:t>
      </w:r>
      <w:r>
        <w:rPr>
          <w:sz w:val="22"/>
        </w:rPr>
        <w:t>.</w:t>
      </w:r>
      <w:r>
        <w:rPr>
          <w:sz w:val="22"/>
          <w:lang w:val="en-US"/>
        </w:rPr>
        <w:t>gr</w:t>
      </w:r>
      <w:r>
        <w:rPr>
          <w:sz w:val="22"/>
        </w:rPr>
        <w:t>/2018</w:t>
      </w:r>
    </w:p>
    <w:p w:rsidR="001B3514" w:rsidRDefault="00782E3E">
      <w:pPr>
        <w:ind w:left="720" w:hanging="720"/>
        <w:rPr>
          <w:sz w:val="22"/>
          <w:lang w:val="en-US"/>
        </w:rPr>
      </w:pPr>
      <w:r>
        <w:rPr>
          <w:sz w:val="22"/>
          <w:lang w:val="en-US"/>
        </w:rPr>
        <w:t>Kupper, N.  and Denollet, J. (2018) : Type D Personality as a Risk Factor in Coronary Heart Disease: a Review of Current Evidence</w:t>
      </w:r>
      <w:r>
        <w:rPr>
          <w:i/>
          <w:iCs/>
          <w:sz w:val="22"/>
          <w:lang w:val="en-US"/>
        </w:rPr>
        <w:t>. Curr Cardiol Rep. 20</w:t>
      </w:r>
      <w:r>
        <w:rPr>
          <w:sz w:val="22"/>
          <w:lang w:val="en-US"/>
        </w:rPr>
        <w:t xml:space="preserve"> (11) : 104.</w:t>
      </w:r>
    </w:p>
    <w:p w:rsidR="001B3514" w:rsidRDefault="00782E3E">
      <w:pPr>
        <w:ind w:left="720" w:hanging="720"/>
        <w:rPr>
          <w:sz w:val="22"/>
          <w:lang w:val="en-US"/>
        </w:rPr>
      </w:pPr>
      <w:r>
        <w:rPr>
          <w:sz w:val="22"/>
          <w:lang w:val="en-US"/>
        </w:rPr>
        <w:t>Lazarus, R.S. &amp; Folkman . S (1944) : Stress, appraisal and coping. New York . Springer.</w:t>
      </w:r>
    </w:p>
    <w:p w:rsidR="001B3514" w:rsidRDefault="00782E3E">
      <w:pPr>
        <w:ind w:left="720" w:hanging="720"/>
        <w:rPr>
          <w:sz w:val="22"/>
          <w:lang w:val="en-US"/>
        </w:rPr>
      </w:pPr>
      <w:r>
        <w:rPr>
          <w:sz w:val="22"/>
          <w:lang w:val="en-US"/>
        </w:rPr>
        <w:t xml:space="preserve">Lee, K., Lee, J., Choi, N., Yoon, J., Shin, D., Kim, J., Roh, H., Ahn, M., Hwang, H., &amp; Hyon, M. (2016). Association between insufficient medication of antihypertensives and the severity of acute ischemic stroke. </w:t>
      </w:r>
      <w:r>
        <w:rPr>
          <w:i/>
          <w:iCs/>
          <w:sz w:val="22"/>
          <w:lang w:val="en-US"/>
        </w:rPr>
        <w:t>Clinical Hypertension 22</w:t>
      </w:r>
      <w:r>
        <w:rPr>
          <w:sz w:val="22"/>
          <w:lang w:val="en-US"/>
        </w:rPr>
        <w:t>(11): 1-5</w:t>
      </w:r>
    </w:p>
    <w:p w:rsidR="001B3514" w:rsidRDefault="00782E3E">
      <w:pPr>
        <w:ind w:left="720" w:hanging="720"/>
        <w:rPr>
          <w:sz w:val="22"/>
        </w:rPr>
      </w:pPr>
      <w:r>
        <w:rPr>
          <w:sz w:val="22"/>
          <w:lang w:val="en-US"/>
        </w:rPr>
        <w:t>Moos</w:t>
      </w:r>
      <w:r w:rsidR="00F7158D">
        <w:rPr>
          <w:sz w:val="22"/>
          <w:lang w:val="en-US"/>
        </w:rPr>
        <w:t>,</w:t>
      </w:r>
      <w:r>
        <w:rPr>
          <w:sz w:val="22"/>
          <w:lang w:val="en-US"/>
        </w:rPr>
        <w:t xml:space="preserve"> R and Schaefer, J (1984):  The Crisis of Physical Illness. An Overview and Conceptual Approach. Coping with physical illness pp 3-25. Springer</w:t>
      </w:r>
    </w:p>
    <w:p w:rsidR="001B3514" w:rsidRDefault="00782E3E">
      <w:pPr>
        <w:ind w:left="720" w:hanging="720"/>
        <w:rPr>
          <w:sz w:val="22"/>
        </w:rPr>
      </w:pPr>
      <w:r>
        <w:rPr>
          <w:sz w:val="22"/>
          <w:lang w:val="en-US"/>
        </w:rPr>
        <w:t>Ogden</w:t>
      </w:r>
      <w:r>
        <w:rPr>
          <w:sz w:val="22"/>
        </w:rPr>
        <w:t xml:space="preserve">, </w:t>
      </w:r>
      <w:r>
        <w:rPr>
          <w:sz w:val="22"/>
          <w:lang w:val="en-US"/>
        </w:rPr>
        <w:t>J</w:t>
      </w:r>
      <w:r>
        <w:rPr>
          <w:sz w:val="22"/>
        </w:rPr>
        <w:t>. (2018) : Ψυχολογία της Υγείας. Εκδ. Παρισιάνου. 5Η εκδ.</w:t>
      </w:r>
    </w:p>
    <w:p w:rsidR="001B3514" w:rsidRDefault="00782E3E">
      <w:pPr>
        <w:ind w:left="720" w:hanging="720"/>
        <w:rPr>
          <w:sz w:val="22"/>
          <w:lang w:val="en-US"/>
        </w:rPr>
      </w:pPr>
      <w:r>
        <w:rPr>
          <w:sz w:val="22"/>
          <w:lang w:val="en-US"/>
        </w:rPr>
        <w:t>Park, Nansook</w:t>
      </w:r>
      <w:r w:rsidR="00F7158D">
        <w:rPr>
          <w:sz w:val="22"/>
          <w:lang w:val="en-US"/>
        </w:rPr>
        <w:t>,</w:t>
      </w:r>
      <w:r>
        <w:rPr>
          <w:sz w:val="22"/>
          <w:lang w:val="en-US"/>
        </w:rPr>
        <w:t xml:space="preserve"> PhD,  Peterson, Christofer, PhD, Szvarca, Daniel,  BS, Vander Molen, Randy J. BA, Eric S Kim</w:t>
      </w:r>
      <w:r w:rsidR="00F7158D">
        <w:rPr>
          <w:sz w:val="22"/>
          <w:lang w:val="en-US"/>
        </w:rPr>
        <w:t>,</w:t>
      </w:r>
      <w:r>
        <w:rPr>
          <w:sz w:val="22"/>
          <w:lang w:val="en-US"/>
        </w:rPr>
        <w:t xml:space="preserve"> MS, and Collon, Kevin, BA (2012) : Positive Psychology and Physical Health. American Journal of Lifestyle Medicine 2016 May- Jun; 10 (3) : 200-206.</w:t>
      </w:r>
    </w:p>
    <w:p w:rsidR="001B3514" w:rsidRDefault="00782E3E">
      <w:pPr>
        <w:ind w:left="720" w:hanging="720"/>
        <w:rPr>
          <w:sz w:val="22"/>
          <w:lang w:val="en-US"/>
        </w:rPr>
      </w:pPr>
      <w:r>
        <w:rPr>
          <w:sz w:val="22"/>
          <w:lang w:val="en-US"/>
        </w:rPr>
        <w:lastRenderedPageBreak/>
        <w:t>Paryad E</w:t>
      </w:r>
      <w:r w:rsidR="00F7158D">
        <w:rPr>
          <w:sz w:val="22"/>
          <w:lang w:val="en-US"/>
        </w:rPr>
        <w:t>,</w:t>
      </w:r>
      <w:r>
        <w:rPr>
          <w:sz w:val="22"/>
          <w:lang w:val="en-US"/>
        </w:rPr>
        <w:t xml:space="preserve"> Rouhi Balasi L  .(2018): Smoking cessation Adherence based on patients illness perception after coronary artery bypass grafting surgery. Indian Heart J. 2018 Dec. 70 Suppl 3: S4-S7. Doi: 10.1016/j.ihj.2018.01.025. Epub 2018 Jan 19.</w:t>
      </w:r>
    </w:p>
    <w:p w:rsidR="001B3514" w:rsidRDefault="00782E3E">
      <w:pPr>
        <w:ind w:left="720" w:hanging="720"/>
        <w:rPr>
          <w:sz w:val="22"/>
          <w:lang w:val="en-US"/>
        </w:rPr>
      </w:pPr>
      <w:r>
        <w:rPr>
          <w:sz w:val="22"/>
          <w:lang w:val="en-US"/>
        </w:rPr>
        <w:t>Pitsavos, Ch and Toutouzas</w:t>
      </w:r>
      <w:r w:rsidR="00F7158D">
        <w:rPr>
          <w:sz w:val="22"/>
          <w:lang w:val="en-US"/>
        </w:rPr>
        <w:t>,</w:t>
      </w:r>
      <w:r>
        <w:rPr>
          <w:sz w:val="22"/>
          <w:lang w:val="en-US"/>
        </w:rPr>
        <w:t xml:space="preserve"> P (2002) :Cardiovascular risk factor profile in Greece: results from the CARDIO2000 and ATTICA epidemiological studies.   Curr Med Res Opin 2002;18(5):277-83.</w:t>
      </w:r>
    </w:p>
    <w:p w:rsidR="001B3514" w:rsidRDefault="00782E3E">
      <w:pPr>
        <w:ind w:left="720" w:hanging="720"/>
        <w:rPr>
          <w:sz w:val="22"/>
          <w:lang w:val="en-US"/>
        </w:rPr>
      </w:pPr>
      <w:r>
        <w:rPr>
          <w:sz w:val="22"/>
          <w:lang w:val="en-US"/>
        </w:rPr>
        <w:t xml:space="preserve">Plakas, S., Mastrogiannis, D., Mantzorou, M., Adamakidou, T., Fouka, G., Bouziou, A., ... &amp; Morisky, D. E. (2016). Validation of the 8-item Morisky Medication Adherence Scale in chronically ill ambulatory patients in rural Greece. </w:t>
      </w:r>
      <w:r>
        <w:rPr>
          <w:i/>
          <w:iCs/>
          <w:sz w:val="22"/>
          <w:lang w:val="en-US"/>
        </w:rPr>
        <w:t>Open Journal of Nursing, 6</w:t>
      </w:r>
      <w:r>
        <w:rPr>
          <w:sz w:val="22"/>
          <w:lang w:val="en-US"/>
        </w:rPr>
        <w:t>(03), 158.</w:t>
      </w:r>
    </w:p>
    <w:p w:rsidR="001B3514" w:rsidRDefault="00782E3E">
      <w:pPr>
        <w:ind w:left="720" w:hanging="720"/>
        <w:rPr>
          <w:sz w:val="22"/>
          <w:lang w:val="en-US"/>
        </w:rPr>
      </w:pPr>
      <w:r>
        <w:rPr>
          <w:sz w:val="22"/>
          <w:lang w:val="en-US"/>
        </w:rPr>
        <w:t>Rozanski, A Blumenthal, JA .,  Kaplan, J. (1999) : Impact of psychological factors on the pathogenesis of cardiovascular disease and implications for therapy. Circulation</w:t>
      </w:r>
      <w:r w:rsidR="00F7158D">
        <w:rPr>
          <w:sz w:val="22"/>
          <w:lang w:val="en-US"/>
        </w:rPr>
        <w:t>,</w:t>
      </w:r>
      <w:r>
        <w:rPr>
          <w:sz w:val="22"/>
          <w:lang w:val="en-US"/>
        </w:rPr>
        <w:t xml:space="preserve"> 1999;99(16) : 2192-217.</w:t>
      </w:r>
    </w:p>
    <w:p w:rsidR="001B3514" w:rsidRPr="00782E3E" w:rsidRDefault="00782E3E">
      <w:pPr>
        <w:ind w:left="720" w:hanging="720"/>
        <w:rPr>
          <w:lang w:val="en-US"/>
        </w:rPr>
      </w:pPr>
      <w:r>
        <w:rPr>
          <w:sz w:val="22"/>
          <w:lang w:val="en-US"/>
        </w:rPr>
        <w:t xml:space="preserve">Shinduk Lee, Luohua Jiang, Marcia G Ory.(2018): Attitudes, Beliefs and Cost-Related medication Nonadherence Among Adults Aged 65 or Older with Chronic Diseases. </w:t>
      </w:r>
      <w:hyperlink r:id="rId10">
        <w:r w:rsidRPr="000E2DA8">
          <w:rPr>
            <w:rStyle w:val="a3"/>
            <w:color w:val="auto"/>
            <w:sz w:val="22"/>
            <w:u w:val="none"/>
            <w:lang w:val="en-US"/>
          </w:rPr>
          <w:t>https://www.ncbi.nlmnih.gov/pmc/articles/PMC6292137</w:t>
        </w:r>
      </w:hyperlink>
      <w:r w:rsidRPr="000E2DA8">
        <w:rPr>
          <w:color w:val="auto"/>
          <w:sz w:val="22"/>
          <w:lang w:val="en-US"/>
        </w:rPr>
        <w:t>.</w:t>
      </w:r>
    </w:p>
    <w:p w:rsidR="001B3514" w:rsidRPr="00782E3E" w:rsidRDefault="00782E3E">
      <w:pPr>
        <w:ind w:left="720" w:hanging="720"/>
        <w:rPr>
          <w:lang w:val="en-US"/>
        </w:rPr>
      </w:pPr>
      <w:r>
        <w:rPr>
          <w:sz w:val="22"/>
          <w:lang w:val="en-US"/>
        </w:rPr>
        <w:t xml:space="preserve"> Shamsi A,  Nayeri</w:t>
      </w:r>
      <w:r w:rsidR="00B65CE5">
        <w:rPr>
          <w:sz w:val="22"/>
          <w:lang w:val="en-US"/>
        </w:rPr>
        <w:t xml:space="preserve"> ND, </w:t>
      </w:r>
      <w:r>
        <w:rPr>
          <w:sz w:val="22"/>
          <w:lang w:val="en-US"/>
        </w:rPr>
        <w:t xml:space="preserve">Esmaeili </w:t>
      </w:r>
      <w:r w:rsidR="00B65CE5">
        <w:rPr>
          <w:sz w:val="22"/>
          <w:lang w:val="en-US"/>
        </w:rPr>
        <w:t xml:space="preserve">M. </w:t>
      </w:r>
      <w:r>
        <w:rPr>
          <w:sz w:val="22"/>
          <w:lang w:val="en-US"/>
        </w:rPr>
        <w:t>(2017):  Living with hypertension: A qualitative research. International Journal of Community Based Nursing and Midwifery. 2017 Joul; 5(3): 219-230</w:t>
      </w:r>
    </w:p>
    <w:p w:rsidR="001B3514" w:rsidRPr="001825E6" w:rsidRDefault="00782E3E">
      <w:pPr>
        <w:ind w:left="720" w:hanging="720"/>
        <w:rPr>
          <w:lang w:val="en-US"/>
        </w:rPr>
      </w:pPr>
      <w:r>
        <w:rPr>
          <w:sz w:val="22"/>
          <w:lang w:val="en-US"/>
        </w:rPr>
        <w:t>Schneiderman N</w:t>
      </w:r>
      <w:r w:rsidR="00B65CE5">
        <w:rPr>
          <w:sz w:val="22"/>
          <w:lang w:val="en-US"/>
        </w:rPr>
        <w:t xml:space="preserve">, </w:t>
      </w:r>
      <w:r>
        <w:rPr>
          <w:sz w:val="22"/>
          <w:lang w:val="en-US"/>
        </w:rPr>
        <w:t>Ironson G</w:t>
      </w:r>
      <w:r w:rsidR="00B65CE5">
        <w:rPr>
          <w:sz w:val="22"/>
          <w:lang w:val="en-US"/>
        </w:rPr>
        <w:t>,</w:t>
      </w:r>
      <w:r>
        <w:rPr>
          <w:sz w:val="22"/>
          <w:lang w:val="en-US"/>
        </w:rPr>
        <w:t xml:space="preserve"> Siegel, </w:t>
      </w:r>
      <w:r w:rsidR="00B65CE5">
        <w:rPr>
          <w:sz w:val="22"/>
          <w:lang w:val="en-US"/>
        </w:rPr>
        <w:t xml:space="preserve">SD. </w:t>
      </w:r>
      <w:r>
        <w:rPr>
          <w:sz w:val="22"/>
          <w:lang w:val="en-US"/>
        </w:rPr>
        <w:t xml:space="preserve">(2008): </w:t>
      </w:r>
      <w:r w:rsidR="00B65CE5">
        <w:rPr>
          <w:sz w:val="22"/>
          <w:lang w:val="en-US"/>
        </w:rPr>
        <w:t>Stress And Health</w:t>
      </w:r>
      <w:r>
        <w:rPr>
          <w:sz w:val="22"/>
          <w:lang w:val="en-US"/>
        </w:rPr>
        <w:t>: Psychological, Behavioral and Biological Determinants. Annu Rev Clin Psychol. 2005; 1: 607–628 doi:10.1146/annurev.clinpsy.1.102803.144141</w:t>
      </w:r>
    </w:p>
    <w:p w:rsidR="001B3514" w:rsidRDefault="00782E3E">
      <w:pPr>
        <w:ind w:left="720" w:hanging="720"/>
        <w:rPr>
          <w:sz w:val="22"/>
          <w:lang w:val="en-US"/>
        </w:rPr>
      </w:pPr>
      <w:r>
        <w:rPr>
          <w:sz w:val="22"/>
          <w:lang w:val="en-US"/>
        </w:rPr>
        <w:t>The Framingham Study. An Epidemiological Investigation of Cardiovascular Disease. DHEW Publication No. (NIH) 74-478, Washington, DC, US GPO, 1974</w:t>
      </w:r>
    </w:p>
    <w:p w:rsidR="001B3514" w:rsidRDefault="00782E3E">
      <w:pPr>
        <w:ind w:left="720" w:hanging="720"/>
        <w:rPr>
          <w:sz w:val="22"/>
          <w:lang w:val="en-US"/>
        </w:rPr>
      </w:pPr>
      <w:r>
        <w:rPr>
          <w:sz w:val="22"/>
          <w:lang w:val="en-US"/>
        </w:rPr>
        <w:t>Theofilou, P.  (ED) (2013): Outcomes Assessment in End-Stage Kidney Disease. Measurements and Applicatios in Clinical Practice. United Arab Emirates: Bentham Science Publishers.</w:t>
      </w:r>
    </w:p>
    <w:p w:rsidR="001B3514" w:rsidRDefault="00782E3E">
      <w:pPr>
        <w:ind w:left="720" w:hanging="720"/>
        <w:rPr>
          <w:sz w:val="22"/>
          <w:lang w:val="en-US"/>
        </w:rPr>
      </w:pPr>
      <w:r>
        <w:rPr>
          <w:sz w:val="22"/>
          <w:lang w:val="en-US"/>
        </w:rPr>
        <w:t>Tomarken, A.J., Dichter, G.S., Garber, J., Simien, C., 2004. Resting frontal brain activity: linkages to maternal depression and socio-economic status among adolscents. Biological Psychology 67 (1–2), 77–102.</w:t>
      </w:r>
    </w:p>
    <w:p w:rsidR="001B3514" w:rsidRPr="00EB73E1" w:rsidRDefault="00782E3E" w:rsidP="00EB73E1">
      <w:pPr>
        <w:ind w:left="720" w:hanging="720"/>
        <w:rPr>
          <w:sz w:val="22"/>
          <w:lang w:val="en-US"/>
        </w:rPr>
      </w:pPr>
      <w:r>
        <w:rPr>
          <w:sz w:val="22"/>
          <w:lang w:val="en-US"/>
        </w:rPr>
        <w:t>WHO .(2003): Adherence to long-term therapies - Evidence for action, World Health Organisation, Geneva, Switcherland. Available at: http://www.who.int/ chp/knowledge/publications/adherence_report/en/  [Accessed: 6 Jun 2015].</w:t>
      </w:r>
    </w:p>
    <w:p w:rsidR="001B3514" w:rsidRDefault="001B3514">
      <w:pPr>
        <w:spacing w:after="120"/>
        <w:rPr>
          <w:lang w:val="en-US"/>
        </w:rPr>
      </w:pPr>
    </w:p>
    <w:p w:rsidR="001B3514" w:rsidRDefault="001B3514">
      <w:pPr>
        <w:spacing w:after="120"/>
        <w:rPr>
          <w:lang w:val="en-US"/>
        </w:rPr>
      </w:pPr>
    </w:p>
    <w:p w:rsidR="001B3514" w:rsidRDefault="001B3514">
      <w:pPr>
        <w:spacing w:after="120"/>
        <w:rPr>
          <w:lang w:val="en-US"/>
        </w:rPr>
      </w:pPr>
    </w:p>
    <w:p w:rsidR="001B3514" w:rsidRDefault="001B3514">
      <w:pPr>
        <w:spacing w:after="120"/>
        <w:rPr>
          <w:lang w:val="en-US"/>
        </w:rPr>
      </w:pPr>
    </w:p>
    <w:p w:rsidR="001B3514" w:rsidRDefault="001B3514">
      <w:pPr>
        <w:spacing w:after="120"/>
        <w:rPr>
          <w:lang w:val="en-US"/>
        </w:rPr>
      </w:pPr>
    </w:p>
    <w:p w:rsidR="001B3514" w:rsidRDefault="001B3514">
      <w:pPr>
        <w:spacing w:after="120"/>
        <w:rPr>
          <w:lang w:val="en-US"/>
        </w:rPr>
      </w:pPr>
    </w:p>
    <w:p w:rsidR="001B3514" w:rsidRDefault="001B3514">
      <w:pPr>
        <w:spacing w:after="120"/>
        <w:rPr>
          <w:lang w:val="en-US"/>
        </w:rPr>
      </w:pPr>
    </w:p>
    <w:p w:rsidR="001B3514" w:rsidRDefault="001B3514">
      <w:pPr>
        <w:spacing w:after="120"/>
        <w:rPr>
          <w:lang w:val="en-US"/>
        </w:rPr>
      </w:pPr>
    </w:p>
    <w:p w:rsidR="001B3514" w:rsidRDefault="001B3514">
      <w:pPr>
        <w:spacing w:after="120"/>
        <w:rPr>
          <w:lang w:val="en-US"/>
        </w:rPr>
      </w:pPr>
    </w:p>
    <w:p w:rsidR="001B3514" w:rsidRDefault="001B3514">
      <w:pPr>
        <w:spacing w:after="120"/>
        <w:rPr>
          <w:lang w:val="en-US"/>
        </w:rPr>
      </w:pPr>
    </w:p>
    <w:p w:rsidR="001B3514" w:rsidRDefault="001B3514">
      <w:pPr>
        <w:spacing w:after="120"/>
        <w:rPr>
          <w:lang w:val="en-US"/>
        </w:rPr>
      </w:pPr>
    </w:p>
    <w:p w:rsidR="001B3514" w:rsidRDefault="001B3514">
      <w:pPr>
        <w:spacing w:after="120"/>
        <w:rPr>
          <w:lang w:val="en-US"/>
        </w:rPr>
      </w:pPr>
    </w:p>
    <w:p w:rsidR="001B3514" w:rsidRDefault="001B3514">
      <w:pPr>
        <w:spacing w:after="120"/>
        <w:rPr>
          <w:lang w:val="en-US"/>
        </w:rPr>
      </w:pPr>
    </w:p>
    <w:p w:rsidR="001B3514" w:rsidRDefault="001B3514">
      <w:pPr>
        <w:spacing w:after="120"/>
        <w:rPr>
          <w:lang w:val="en-US"/>
        </w:rPr>
      </w:pPr>
    </w:p>
    <w:p w:rsidR="001B3514" w:rsidRDefault="001B3514">
      <w:pPr>
        <w:spacing w:after="120"/>
        <w:rPr>
          <w:lang w:val="en-US"/>
        </w:rPr>
      </w:pPr>
    </w:p>
    <w:p w:rsidR="001B3514" w:rsidRDefault="001B3514">
      <w:pPr>
        <w:spacing w:after="120"/>
        <w:rPr>
          <w:lang w:val="en-US"/>
        </w:rPr>
      </w:pPr>
    </w:p>
    <w:p w:rsidR="001B3514" w:rsidRDefault="001B3514">
      <w:pPr>
        <w:spacing w:after="120"/>
        <w:rPr>
          <w:lang w:val="en-US"/>
        </w:rPr>
      </w:pPr>
    </w:p>
    <w:p w:rsidR="001B3514" w:rsidRDefault="001B3514">
      <w:pPr>
        <w:spacing w:after="120"/>
        <w:rPr>
          <w:lang w:val="en-US"/>
        </w:rPr>
      </w:pPr>
    </w:p>
    <w:p w:rsidR="001B3514" w:rsidRDefault="00782E3E">
      <w:pPr>
        <w:spacing w:after="120" w:line="276" w:lineRule="auto"/>
        <w:rPr>
          <w:sz w:val="20"/>
          <w:szCs w:val="28"/>
        </w:rPr>
      </w:pPr>
      <w:r>
        <w:rPr>
          <w:sz w:val="20"/>
          <w:szCs w:val="28"/>
        </w:rPr>
        <w:t xml:space="preserve">Υπεύθυνη Δήλωση Συγγραφέα: </w:t>
      </w:r>
    </w:p>
    <w:p w:rsidR="001B3514" w:rsidRDefault="00782E3E">
      <w:pPr>
        <w:spacing w:after="120" w:line="276" w:lineRule="auto"/>
      </w:pPr>
      <w:r>
        <w:rPr>
          <w:sz w:val="20"/>
          <w:szCs w:val="28"/>
        </w:rPr>
        <w:t>Δηλώνω ρητά ότι, σύμφωνα με το άρθρο 8 του Ν.1599/1986, η παρούσα εργασία αποτελεί αποκλειστικά προϊόν προσωπικής μου εργασίας, δεν προσβάλλει κάθε μορφής δικαιώματα διανοητικής ιδιοκτησίας, προσωπικότητας και προσωπικών δεδομένων τρίτων, δεν περιέχει έργα/εισφορές τρίτων για τα οποία απαιτείται άδεια των δημιουργών/δικαιούχων και δεν είναι προϊόν μερικής ή ολικής αντιγραφής, οι πηγές δε που χρησιμοποιήθηκαν περιορίζονται στις βιβλιογραφικές αναφορές και μόνον και πληρούν τους κανόνες της επιστημονικής παράθεσης.</w:t>
      </w:r>
    </w:p>
    <w:sectPr w:rsidR="001B3514" w:rsidSect="00B061D7">
      <w:headerReference w:type="default" r:id="rId11"/>
      <w:footerReference w:type="default" r:id="rId12"/>
      <w:pgSz w:w="12240" w:h="15840"/>
      <w:pgMar w:top="1440" w:right="1440" w:bottom="1440" w:left="1440" w:header="720" w:footer="72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167F" w:rsidRDefault="00AE167F">
      <w:pPr>
        <w:spacing w:after="0" w:line="240" w:lineRule="auto"/>
      </w:pPr>
      <w:r>
        <w:separator/>
      </w:r>
    </w:p>
  </w:endnote>
  <w:endnote w:type="continuationSeparator" w:id="0">
    <w:p w:rsidR="00AE167F" w:rsidRDefault="00AE16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Calibri Light">
    <w:panose1 w:val="020F0302020204030204"/>
    <w:charset w:val="A1"/>
    <w:family w:val="swiss"/>
    <w:pitch w:val="variable"/>
    <w:sig w:usb0="A00002EF" w:usb1="4000207B" w:usb2="00000000" w:usb3="00000000" w:csb0="0000019F" w:csb1="00000000"/>
  </w:font>
  <w:font w:name="OpenSymbol">
    <w:altName w:val="Cambria"/>
    <w:panose1 w:val="00000000000000000000"/>
    <w:charset w:val="00"/>
    <w:family w:val="roman"/>
    <w:notTrueType/>
    <w:pitch w:val="default"/>
    <w:sig w:usb0="00000000" w:usb1="00000000" w:usb2="00000000" w:usb3="00000000" w:csb0="00000000" w:csb1="00000000"/>
  </w:font>
  <w:font w:name="Liberation Sans">
    <w:altName w:val="Arial"/>
    <w:charset w:val="00"/>
    <w:family w:val="swiss"/>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1"/>
    <w:family w:val="swiss"/>
    <w:pitch w:val="variable"/>
    <w:sig w:usb0="E1002EFF" w:usb1="C000605B" w:usb2="00000029" w:usb3="00000000" w:csb0="000101FF" w:csb1="00000000"/>
  </w:font>
  <w:font w:name="Liberation Serif">
    <w:altName w:val="Times New Roman"/>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5839126"/>
      <w:docPartObj>
        <w:docPartGallery w:val="Page Numbers (Bottom of Page)"/>
        <w:docPartUnique/>
      </w:docPartObj>
    </w:sdtPr>
    <w:sdtContent>
      <w:p w:rsidR="001B0C6A" w:rsidRDefault="001B0C6A">
        <w:pPr>
          <w:pStyle w:val="a5"/>
          <w:jc w:val="right"/>
          <w:rPr>
            <w:sz w:val="20"/>
            <w:szCs w:val="20"/>
          </w:rPr>
        </w:pPr>
        <w:r>
          <w:rPr>
            <w:sz w:val="20"/>
            <w:szCs w:val="20"/>
          </w:rPr>
          <w:t>Μεταπτυχιακή εργασία</w:t>
        </w:r>
        <w:r>
          <w:rPr>
            <w:sz w:val="20"/>
            <w:szCs w:val="20"/>
          </w:rPr>
          <w:tab/>
        </w:r>
        <w:r>
          <w:rPr>
            <w:sz w:val="20"/>
            <w:szCs w:val="20"/>
          </w:rPr>
          <w:tab/>
        </w:r>
        <w:r w:rsidR="00B061D7">
          <w:rPr>
            <w:sz w:val="20"/>
            <w:szCs w:val="20"/>
          </w:rPr>
          <w:fldChar w:fldCharType="begin"/>
        </w:r>
        <w:r>
          <w:rPr>
            <w:sz w:val="20"/>
            <w:szCs w:val="20"/>
          </w:rPr>
          <w:instrText>PAGE</w:instrText>
        </w:r>
        <w:r w:rsidR="00B061D7">
          <w:rPr>
            <w:sz w:val="20"/>
            <w:szCs w:val="20"/>
          </w:rPr>
          <w:fldChar w:fldCharType="separate"/>
        </w:r>
        <w:r w:rsidR="0032499C">
          <w:rPr>
            <w:noProof/>
            <w:sz w:val="20"/>
            <w:szCs w:val="20"/>
          </w:rPr>
          <w:t>80</w:t>
        </w:r>
        <w:r w:rsidR="00B061D7">
          <w:rPr>
            <w:sz w:val="20"/>
            <w:szCs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167F" w:rsidRDefault="00AE167F">
      <w:pPr>
        <w:spacing w:after="0" w:line="240" w:lineRule="auto"/>
      </w:pPr>
      <w:r>
        <w:separator/>
      </w:r>
    </w:p>
  </w:footnote>
  <w:footnote w:type="continuationSeparator" w:id="0">
    <w:p w:rsidR="00AE167F" w:rsidRDefault="00AE167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left w:w="113" w:type="dxa"/>
      </w:tblCellMar>
      <w:tblLook w:val="04A0"/>
    </w:tblPr>
    <w:tblGrid>
      <w:gridCol w:w="2349"/>
      <w:gridCol w:w="5015"/>
      <w:gridCol w:w="2217"/>
    </w:tblGrid>
    <w:tr w:rsidR="001B0C6A">
      <w:trPr>
        <w:trHeight w:val="851"/>
      </w:trPr>
      <w:tc>
        <w:tcPr>
          <w:tcW w:w="2295" w:type="dxa"/>
          <w:shd w:val="clear" w:color="auto" w:fill="auto"/>
        </w:tcPr>
        <w:p w:rsidR="001B0C6A" w:rsidRDefault="001B0C6A">
          <w:pPr>
            <w:pStyle w:val="a4"/>
          </w:pPr>
          <w:r>
            <w:rPr>
              <w:noProof/>
              <w:lang w:eastAsia="el-GR"/>
            </w:rPr>
            <w:drawing>
              <wp:inline distT="0" distB="0" distL="0" distR="0">
                <wp:extent cx="1168400" cy="435610"/>
                <wp:effectExtent l="0" t="0" r="0" b="0"/>
                <wp:docPr id="5" name="Picture 7" descr="logo_eap_new_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7" descr="logo_eap_new_el"/>
                        <pic:cNvPicPr>
                          <a:picLocks noChangeAspect="1" noChangeArrowheads="1"/>
                        </pic:cNvPicPr>
                      </pic:nvPicPr>
                      <pic:blipFill>
                        <a:blip r:embed="rId1"/>
                        <a:stretch>
                          <a:fillRect/>
                        </a:stretch>
                      </pic:blipFill>
                      <pic:spPr bwMode="auto">
                        <a:xfrm>
                          <a:off x="0" y="0"/>
                          <a:ext cx="1168400" cy="435610"/>
                        </a:xfrm>
                        <a:prstGeom prst="rect">
                          <a:avLst/>
                        </a:prstGeom>
                      </pic:spPr>
                    </pic:pic>
                  </a:graphicData>
                </a:graphic>
              </wp:inline>
            </w:drawing>
          </w:r>
        </w:p>
      </w:tc>
      <w:tc>
        <w:tcPr>
          <w:tcW w:w="4899" w:type="dxa"/>
          <w:shd w:val="clear" w:color="auto" w:fill="auto"/>
        </w:tcPr>
        <w:p w:rsidR="001B0C6A" w:rsidRDefault="001B0C6A">
          <w:pPr>
            <w:pStyle w:val="a4"/>
          </w:pPr>
          <w:r>
            <w:rPr>
              <w:i/>
              <w:sz w:val="20"/>
            </w:rPr>
            <w:t>«Αλεξάνδρα Δ. Δίνα», «Το Ψυχολογικό προφίλ των ατόμων που ζουν με υπέρταση και ο ρόλος του στη θεραπευτική τους συμμόρφωση»</w:t>
          </w:r>
        </w:p>
      </w:tc>
      <w:tc>
        <w:tcPr>
          <w:tcW w:w="2166" w:type="dxa"/>
          <w:shd w:val="clear" w:color="auto" w:fill="auto"/>
        </w:tcPr>
        <w:p w:rsidR="001B0C6A" w:rsidRDefault="001B0C6A">
          <w:pPr>
            <w:pStyle w:val="a4"/>
            <w:rPr>
              <w:i/>
            </w:rPr>
          </w:pPr>
          <w:r>
            <w:rPr>
              <w:noProof/>
              <w:lang w:eastAsia="el-GR"/>
            </w:rPr>
            <w:drawing>
              <wp:inline distT="0" distB="0" distL="0" distR="0">
                <wp:extent cx="639445" cy="447675"/>
                <wp:effectExtent l="0" t="0" r="0" b="0"/>
                <wp:docPr id="6" name="Εικόνα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3"/>
                        <pic:cNvPicPr>
                          <a:picLocks noChangeAspect="1" noChangeArrowheads="1"/>
                        </pic:cNvPicPr>
                      </pic:nvPicPr>
                      <pic:blipFill>
                        <a:blip r:embed="rId2"/>
                        <a:stretch>
                          <a:fillRect/>
                        </a:stretch>
                      </pic:blipFill>
                      <pic:spPr bwMode="auto">
                        <a:xfrm>
                          <a:off x="0" y="0"/>
                          <a:ext cx="639445" cy="447675"/>
                        </a:xfrm>
                        <a:prstGeom prst="rect">
                          <a:avLst/>
                        </a:prstGeom>
                      </pic:spPr>
                    </pic:pic>
                  </a:graphicData>
                </a:graphic>
              </wp:inline>
            </w:drawing>
          </w:r>
        </w:p>
      </w:tc>
    </w:tr>
  </w:tbl>
  <w:p w:rsidR="001B0C6A" w:rsidRDefault="001B0C6A">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48E3"/>
    <w:multiLevelType w:val="multilevel"/>
    <w:tmpl w:val="06D8DA2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47A24E2D"/>
    <w:multiLevelType w:val="multilevel"/>
    <w:tmpl w:val="D4C64A3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79045B9A"/>
    <w:multiLevelType w:val="multilevel"/>
    <w:tmpl w:val="B786099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1B3514"/>
    <w:rsid w:val="000C5A2E"/>
    <w:rsid w:val="000E2DA8"/>
    <w:rsid w:val="001825E6"/>
    <w:rsid w:val="001B0C6A"/>
    <w:rsid w:val="001B3514"/>
    <w:rsid w:val="001D06AA"/>
    <w:rsid w:val="00276045"/>
    <w:rsid w:val="0032499C"/>
    <w:rsid w:val="005978F0"/>
    <w:rsid w:val="006B5F00"/>
    <w:rsid w:val="007661E2"/>
    <w:rsid w:val="00782E3E"/>
    <w:rsid w:val="008911C3"/>
    <w:rsid w:val="008F0A00"/>
    <w:rsid w:val="00AE167F"/>
    <w:rsid w:val="00B061D7"/>
    <w:rsid w:val="00B65CE5"/>
    <w:rsid w:val="00C33107"/>
    <w:rsid w:val="00C4710A"/>
    <w:rsid w:val="00DB0D21"/>
    <w:rsid w:val="00DE64F5"/>
    <w:rsid w:val="00EB73E1"/>
    <w:rsid w:val="00F7158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A83"/>
    <w:pPr>
      <w:spacing w:after="160" w:line="360" w:lineRule="auto"/>
      <w:jc w:val="both"/>
    </w:pPr>
    <w:rPr>
      <w:rFonts w:ascii="Times New Roman" w:hAnsi="Times New Roman"/>
      <w:color w:val="00000A"/>
      <w:sz w:val="24"/>
    </w:rPr>
  </w:style>
  <w:style w:type="paragraph" w:styleId="1">
    <w:name w:val="heading 1"/>
    <w:basedOn w:val="a"/>
    <w:next w:val="a"/>
    <w:link w:val="1Char"/>
    <w:uiPriority w:val="9"/>
    <w:qFormat/>
    <w:rsid w:val="00C83A33"/>
    <w:pPr>
      <w:keepNext/>
      <w:keepLines/>
      <w:spacing w:after="360"/>
      <w:jc w:val="left"/>
      <w:outlineLvl w:val="0"/>
    </w:pPr>
    <w:rPr>
      <w:rFonts w:eastAsiaTheme="majorEastAsia" w:cstheme="majorBidi"/>
      <w:b/>
      <w:sz w:val="32"/>
      <w:szCs w:val="32"/>
    </w:rPr>
  </w:style>
  <w:style w:type="paragraph" w:styleId="2">
    <w:name w:val="heading 2"/>
    <w:basedOn w:val="a"/>
    <w:next w:val="a"/>
    <w:link w:val="2Char"/>
    <w:uiPriority w:val="9"/>
    <w:unhideWhenUsed/>
    <w:qFormat/>
    <w:rsid w:val="00C83A33"/>
    <w:pPr>
      <w:keepNext/>
      <w:keepLines/>
      <w:spacing w:after="240"/>
      <w:jc w:val="left"/>
      <w:outlineLvl w:val="1"/>
    </w:pPr>
    <w:rPr>
      <w:rFonts w:eastAsiaTheme="majorEastAsia" w:cstheme="majorBidi"/>
      <w:b/>
      <w:sz w:val="28"/>
      <w:szCs w:val="26"/>
    </w:rPr>
  </w:style>
  <w:style w:type="paragraph" w:styleId="3">
    <w:name w:val="heading 3"/>
    <w:basedOn w:val="a"/>
    <w:next w:val="a"/>
    <w:link w:val="3Char"/>
    <w:uiPriority w:val="9"/>
    <w:unhideWhenUsed/>
    <w:qFormat/>
    <w:rsid w:val="00C83A33"/>
    <w:pPr>
      <w:keepNext/>
      <w:keepLines/>
      <w:spacing w:after="120"/>
      <w:jc w:val="left"/>
      <w:outlineLvl w:val="2"/>
    </w:pPr>
    <w:rPr>
      <w:rFonts w:eastAsiaTheme="majorEastAsia" w:cstheme="majorBidi"/>
      <w:b/>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qFormat/>
    <w:rsid w:val="00C83A33"/>
    <w:rPr>
      <w:rFonts w:ascii="Times New Roman" w:eastAsiaTheme="majorEastAsia" w:hAnsi="Times New Roman" w:cstheme="majorBidi"/>
      <w:b/>
      <w:sz w:val="32"/>
      <w:szCs w:val="32"/>
    </w:rPr>
  </w:style>
  <w:style w:type="character" w:customStyle="1" w:styleId="2Char">
    <w:name w:val="Επικεφαλίδα 2 Char"/>
    <w:basedOn w:val="a0"/>
    <w:link w:val="2"/>
    <w:uiPriority w:val="9"/>
    <w:qFormat/>
    <w:rsid w:val="00C83A33"/>
    <w:rPr>
      <w:rFonts w:ascii="Times New Roman" w:eastAsiaTheme="majorEastAsia" w:hAnsi="Times New Roman" w:cstheme="majorBidi"/>
      <w:b/>
      <w:sz w:val="28"/>
      <w:szCs w:val="26"/>
    </w:rPr>
  </w:style>
  <w:style w:type="character" w:customStyle="1" w:styleId="a3">
    <w:name w:val="Σύνδεσμος διαδικτύου"/>
    <w:basedOn w:val="a0"/>
    <w:uiPriority w:val="99"/>
    <w:unhideWhenUsed/>
    <w:rsid w:val="00754A83"/>
    <w:rPr>
      <w:color w:val="0563C1" w:themeColor="hyperlink"/>
      <w:u w:val="single"/>
    </w:rPr>
  </w:style>
  <w:style w:type="character" w:customStyle="1" w:styleId="3Char">
    <w:name w:val="Επικεφαλίδα 3 Char"/>
    <w:basedOn w:val="a0"/>
    <w:link w:val="3"/>
    <w:uiPriority w:val="9"/>
    <w:qFormat/>
    <w:rsid w:val="00C83A33"/>
    <w:rPr>
      <w:rFonts w:ascii="Times New Roman" w:eastAsiaTheme="majorEastAsia" w:hAnsi="Times New Roman" w:cstheme="majorBidi"/>
      <w:b/>
      <w:sz w:val="24"/>
      <w:szCs w:val="24"/>
    </w:rPr>
  </w:style>
  <w:style w:type="character" w:customStyle="1" w:styleId="Char">
    <w:name w:val="Κεφαλίδα Char"/>
    <w:basedOn w:val="a0"/>
    <w:link w:val="a4"/>
    <w:uiPriority w:val="99"/>
    <w:qFormat/>
    <w:rsid w:val="00EE344F"/>
    <w:rPr>
      <w:rFonts w:ascii="Times New Roman" w:hAnsi="Times New Roman"/>
      <w:sz w:val="24"/>
    </w:rPr>
  </w:style>
  <w:style w:type="character" w:customStyle="1" w:styleId="Char0">
    <w:name w:val="Υποσέλιδο Char"/>
    <w:basedOn w:val="a0"/>
    <w:link w:val="a5"/>
    <w:uiPriority w:val="99"/>
    <w:qFormat/>
    <w:rsid w:val="00EE344F"/>
    <w:rPr>
      <w:rFonts w:ascii="Times New Roman" w:hAnsi="Times New Roman"/>
      <w:sz w:val="24"/>
    </w:rPr>
  </w:style>
  <w:style w:type="character" w:customStyle="1" w:styleId="ListLabel1">
    <w:name w:val="ListLabel 1"/>
    <w:qFormat/>
    <w:rsid w:val="00B061D7"/>
    <w:rPr>
      <w:rFonts w:cs="OpenSymbol"/>
      <w:strike w:val="0"/>
      <w:dstrike w:val="0"/>
      <w:outline w:val="0"/>
      <w:shadow w:val="0"/>
      <w:color w:val="000000"/>
      <w:position w:val="0"/>
      <w:sz w:val="24"/>
      <w:szCs w:val="24"/>
      <w:vertAlign w:val="baseline"/>
    </w:rPr>
  </w:style>
  <w:style w:type="character" w:customStyle="1" w:styleId="ListLabel2">
    <w:name w:val="ListLabel 2"/>
    <w:qFormat/>
    <w:rsid w:val="00B061D7"/>
    <w:rPr>
      <w:rFonts w:cs="OpenSymbol"/>
    </w:rPr>
  </w:style>
  <w:style w:type="character" w:customStyle="1" w:styleId="ListLabel3">
    <w:name w:val="ListLabel 3"/>
    <w:qFormat/>
    <w:rsid w:val="00B061D7"/>
    <w:rPr>
      <w:rFonts w:cs="OpenSymbol"/>
    </w:rPr>
  </w:style>
  <w:style w:type="character" w:customStyle="1" w:styleId="ListLabel4">
    <w:name w:val="ListLabel 4"/>
    <w:qFormat/>
    <w:rsid w:val="00B061D7"/>
    <w:rPr>
      <w:rFonts w:cs="OpenSymbol"/>
      <w:strike w:val="0"/>
      <w:dstrike w:val="0"/>
      <w:outline w:val="0"/>
      <w:shadow w:val="0"/>
      <w:color w:val="000000"/>
      <w:position w:val="0"/>
      <w:sz w:val="24"/>
      <w:szCs w:val="24"/>
      <w:vertAlign w:val="baseline"/>
    </w:rPr>
  </w:style>
  <w:style w:type="character" w:customStyle="1" w:styleId="ListLabel5">
    <w:name w:val="ListLabel 5"/>
    <w:qFormat/>
    <w:rsid w:val="00B061D7"/>
    <w:rPr>
      <w:rFonts w:cs="OpenSymbol"/>
    </w:rPr>
  </w:style>
  <w:style w:type="character" w:customStyle="1" w:styleId="ListLabel6">
    <w:name w:val="ListLabel 6"/>
    <w:qFormat/>
    <w:rsid w:val="00B061D7"/>
    <w:rPr>
      <w:rFonts w:cs="OpenSymbol"/>
    </w:rPr>
  </w:style>
  <w:style w:type="character" w:customStyle="1" w:styleId="ListLabel7">
    <w:name w:val="ListLabel 7"/>
    <w:qFormat/>
    <w:rsid w:val="00B061D7"/>
    <w:rPr>
      <w:rFonts w:cs="OpenSymbol"/>
      <w:strike w:val="0"/>
      <w:dstrike w:val="0"/>
      <w:outline w:val="0"/>
      <w:shadow w:val="0"/>
      <w:color w:val="000000"/>
      <w:position w:val="0"/>
      <w:sz w:val="24"/>
      <w:szCs w:val="24"/>
      <w:vertAlign w:val="baseline"/>
    </w:rPr>
  </w:style>
  <w:style w:type="character" w:customStyle="1" w:styleId="ListLabel8">
    <w:name w:val="ListLabel 8"/>
    <w:qFormat/>
    <w:rsid w:val="00B061D7"/>
    <w:rPr>
      <w:rFonts w:cs="OpenSymbol"/>
    </w:rPr>
  </w:style>
  <w:style w:type="character" w:customStyle="1" w:styleId="ListLabel9">
    <w:name w:val="ListLabel 9"/>
    <w:qFormat/>
    <w:rsid w:val="00B061D7"/>
    <w:rPr>
      <w:rFonts w:cs="OpenSymbol"/>
    </w:rPr>
  </w:style>
  <w:style w:type="character" w:customStyle="1" w:styleId="ListLabel10">
    <w:name w:val="ListLabel 10"/>
    <w:qFormat/>
    <w:rsid w:val="00B061D7"/>
    <w:rPr>
      <w:rFonts w:cs="OpenSymbol"/>
      <w:strike w:val="0"/>
      <w:dstrike w:val="0"/>
      <w:outline w:val="0"/>
      <w:shadow w:val="0"/>
      <w:color w:val="000000"/>
      <w:position w:val="0"/>
      <w:sz w:val="24"/>
      <w:szCs w:val="24"/>
      <w:vertAlign w:val="baseline"/>
    </w:rPr>
  </w:style>
  <w:style w:type="character" w:customStyle="1" w:styleId="ListLabel11">
    <w:name w:val="ListLabel 11"/>
    <w:qFormat/>
    <w:rsid w:val="00B061D7"/>
    <w:rPr>
      <w:rFonts w:cs="OpenSymbol"/>
    </w:rPr>
  </w:style>
  <w:style w:type="character" w:customStyle="1" w:styleId="ListLabel12">
    <w:name w:val="ListLabel 12"/>
    <w:qFormat/>
    <w:rsid w:val="00B061D7"/>
    <w:rPr>
      <w:rFonts w:cs="OpenSymbol"/>
    </w:rPr>
  </w:style>
  <w:style w:type="character" w:customStyle="1" w:styleId="ListLabel13">
    <w:name w:val="ListLabel 13"/>
    <w:qFormat/>
    <w:rsid w:val="00B061D7"/>
    <w:rPr>
      <w:rFonts w:cs="OpenSymbol"/>
      <w:strike w:val="0"/>
      <w:dstrike w:val="0"/>
      <w:outline w:val="0"/>
      <w:shadow w:val="0"/>
      <w:color w:val="000000"/>
      <w:position w:val="0"/>
      <w:sz w:val="24"/>
      <w:szCs w:val="24"/>
      <w:vertAlign w:val="baseline"/>
    </w:rPr>
  </w:style>
  <w:style w:type="character" w:customStyle="1" w:styleId="ListLabel14">
    <w:name w:val="ListLabel 14"/>
    <w:qFormat/>
    <w:rsid w:val="00B061D7"/>
    <w:rPr>
      <w:rFonts w:cs="OpenSymbol"/>
    </w:rPr>
  </w:style>
  <w:style w:type="character" w:customStyle="1" w:styleId="ListLabel15">
    <w:name w:val="ListLabel 15"/>
    <w:qFormat/>
    <w:rsid w:val="00B061D7"/>
    <w:rPr>
      <w:rFonts w:cs="OpenSymbol"/>
    </w:rPr>
  </w:style>
  <w:style w:type="character" w:customStyle="1" w:styleId="ListLabel16">
    <w:name w:val="ListLabel 16"/>
    <w:qFormat/>
    <w:rsid w:val="00B061D7"/>
    <w:rPr>
      <w:rFonts w:cs="OpenSymbol"/>
      <w:strike w:val="0"/>
      <w:dstrike w:val="0"/>
      <w:outline w:val="0"/>
      <w:shadow w:val="0"/>
      <w:color w:val="000000"/>
      <w:position w:val="0"/>
      <w:sz w:val="24"/>
      <w:szCs w:val="24"/>
      <w:vertAlign w:val="baseline"/>
    </w:rPr>
  </w:style>
  <w:style w:type="character" w:customStyle="1" w:styleId="ListLabel17">
    <w:name w:val="ListLabel 17"/>
    <w:qFormat/>
    <w:rsid w:val="00B061D7"/>
    <w:rPr>
      <w:rFonts w:cs="OpenSymbol"/>
    </w:rPr>
  </w:style>
  <w:style w:type="character" w:customStyle="1" w:styleId="ListLabel18">
    <w:name w:val="ListLabel 18"/>
    <w:qFormat/>
    <w:rsid w:val="00B061D7"/>
    <w:rPr>
      <w:rFonts w:cs="OpenSymbol"/>
    </w:rPr>
  </w:style>
  <w:style w:type="character" w:customStyle="1" w:styleId="ListLabel19">
    <w:name w:val="ListLabel 19"/>
    <w:qFormat/>
    <w:rsid w:val="00B061D7"/>
    <w:rPr>
      <w:rFonts w:cs="OpenSymbol"/>
    </w:rPr>
  </w:style>
  <w:style w:type="character" w:customStyle="1" w:styleId="ListLabel20">
    <w:name w:val="ListLabel 20"/>
    <w:qFormat/>
    <w:rsid w:val="00B061D7"/>
    <w:rPr>
      <w:rFonts w:cs="OpenSymbol"/>
    </w:rPr>
  </w:style>
  <w:style w:type="character" w:customStyle="1" w:styleId="ListLabel21">
    <w:name w:val="ListLabel 21"/>
    <w:qFormat/>
    <w:rsid w:val="00B061D7"/>
    <w:rPr>
      <w:rFonts w:cs="OpenSymbol"/>
    </w:rPr>
  </w:style>
  <w:style w:type="character" w:customStyle="1" w:styleId="ListLabel22">
    <w:name w:val="ListLabel 22"/>
    <w:qFormat/>
    <w:rsid w:val="00B061D7"/>
    <w:rPr>
      <w:rFonts w:cs="OpenSymbol"/>
    </w:rPr>
  </w:style>
  <w:style w:type="character" w:customStyle="1" w:styleId="ListLabel23">
    <w:name w:val="ListLabel 23"/>
    <w:qFormat/>
    <w:rsid w:val="00B061D7"/>
    <w:rPr>
      <w:rFonts w:cs="OpenSymbol"/>
    </w:rPr>
  </w:style>
  <w:style w:type="character" w:customStyle="1" w:styleId="ListLabel24">
    <w:name w:val="ListLabel 24"/>
    <w:qFormat/>
    <w:rsid w:val="00B061D7"/>
    <w:rPr>
      <w:rFonts w:cs="OpenSymbol"/>
    </w:rPr>
  </w:style>
  <w:style w:type="character" w:customStyle="1" w:styleId="ListLabel25">
    <w:name w:val="ListLabel 25"/>
    <w:qFormat/>
    <w:rsid w:val="00B061D7"/>
    <w:rPr>
      <w:rFonts w:cs="OpenSymbol"/>
    </w:rPr>
  </w:style>
  <w:style w:type="character" w:customStyle="1" w:styleId="ListLabel26">
    <w:name w:val="ListLabel 26"/>
    <w:qFormat/>
    <w:rsid w:val="00B061D7"/>
    <w:rPr>
      <w:rFonts w:cs="OpenSymbol"/>
    </w:rPr>
  </w:style>
  <w:style w:type="character" w:customStyle="1" w:styleId="ListLabel27">
    <w:name w:val="ListLabel 27"/>
    <w:qFormat/>
    <w:rsid w:val="00B061D7"/>
    <w:rPr>
      <w:rFonts w:cs="OpenSymbol"/>
    </w:rPr>
  </w:style>
  <w:style w:type="character" w:customStyle="1" w:styleId="ListLabel28">
    <w:name w:val="ListLabel 28"/>
    <w:qFormat/>
    <w:rsid w:val="00B061D7"/>
    <w:rPr>
      <w:rFonts w:cs="OpenSymbol"/>
    </w:rPr>
  </w:style>
  <w:style w:type="character" w:customStyle="1" w:styleId="ListLabel29">
    <w:name w:val="ListLabel 29"/>
    <w:qFormat/>
    <w:rsid w:val="00B061D7"/>
    <w:rPr>
      <w:rFonts w:cs="OpenSymbol"/>
    </w:rPr>
  </w:style>
  <w:style w:type="character" w:customStyle="1" w:styleId="ListLabel30">
    <w:name w:val="ListLabel 30"/>
    <w:qFormat/>
    <w:rsid w:val="00B061D7"/>
    <w:rPr>
      <w:rFonts w:cs="OpenSymbol"/>
    </w:rPr>
  </w:style>
  <w:style w:type="character" w:customStyle="1" w:styleId="ListLabel31">
    <w:name w:val="ListLabel 31"/>
    <w:qFormat/>
    <w:rsid w:val="00B061D7"/>
    <w:rPr>
      <w:rFonts w:cs="OpenSymbol"/>
    </w:rPr>
  </w:style>
  <w:style w:type="character" w:customStyle="1" w:styleId="ListLabel32">
    <w:name w:val="ListLabel 32"/>
    <w:qFormat/>
    <w:rsid w:val="00B061D7"/>
    <w:rPr>
      <w:rFonts w:cs="OpenSymbol"/>
    </w:rPr>
  </w:style>
  <w:style w:type="character" w:customStyle="1" w:styleId="ListLabel33">
    <w:name w:val="ListLabel 33"/>
    <w:qFormat/>
    <w:rsid w:val="00B061D7"/>
    <w:rPr>
      <w:rFonts w:cs="OpenSymbol"/>
    </w:rPr>
  </w:style>
  <w:style w:type="character" w:customStyle="1" w:styleId="ListLabel34">
    <w:name w:val="ListLabel 34"/>
    <w:qFormat/>
    <w:rsid w:val="00B061D7"/>
    <w:rPr>
      <w:rFonts w:cs="OpenSymbol"/>
    </w:rPr>
  </w:style>
  <w:style w:type="character" w:customStyle="1" w:styleId="ListLabel35">
    <w:name w:val="ListLabel 35"/>
    <w:qFormat/>
    <w:rsid w:val="00B061D7"/>
    <w:rPr>
      <w:rFonts w:cs="OpenSymbol"/>
    </w:rPr>
  </w:style>
  <w:style w:type="character" w:customStyle="1" w:styleId="ListLabel36">
    <w:name w:val="ListLabel 36"/>
    <w:qFormat/>
    <w:rsid w:val="00B061D7"/>
    <w:rPr>
      <w:rFonts w:cs="OpenSymbol"/>
    </w:rPr>
  </w:style>
  <w:style w:type="character" w:customStyle="1" w:styleId="ListLabel37">
    <w:name w:val="ListLabel 37"/>
    <w:qFormat/>
    <w:rsid w:val="00B061D7"/>
    <w:rPr>
      <w:rFonts w:cs="Courier New"/>
    </w:rPr>
  </w:style>
  <w:style w:type="character" w:customStyle="1" w:styleId="ListLabel38">
    <w:name w:val="ListLabel 38"/>
    <w:qFormat/>
    <w:rsid w:val="00B061D7"/>
    <w:rPr>
      <w:rFonts w:cs="Courier New"/>
    </w:rPr>
  </w:style>
  <w:style w:type="character" w:customStyle="1" w:styleId="ListLabel39">
    <w:name w:val="ListLabel 39"/>
    <w:qFormat/>
    <w:rsid w:val="00B061D7"/>
    <w:rPr>
      <w:rFonts w:cs="Courier New"/>
    </w:rPr>
  </w:style>
  <w:style w:type="character" w:customStyle="1" w:styleId="ListLabel40">
    <w:name w:val="ListLabel 40"/>
    <w:qFormat/>
    <w:rsid w:val="00B061D7"/>
    <w:rPr>
      <w:rFonts w:cs="Courier New"/>
    </w:rPr>
  </w:style>
  <w:style w:type="character" w:customStyle="1" w:styleId="ListLabel41">
    <w:name w:val="ListLabel 41"/>
    <w:qFormat/>
    <w:rsid w:val="00B061D7"/>
    <w:rPr>
      <w:rFonts w:cs="Courier New"/>
    </w:rPr>
  </w:style>
  <w:style w:type="character" w:customStyle="1" w:styleId="ListLabel42">
    <w:name w:val="ListLabel 42"/>
    <w:qFormat/>
    <w:rsid w:val="00B061D7"/>
    <w:rPr>
      <w:rFonts w:cs="Courier New"/>
    </w:rPr>
  </w:style>
  <w:style w:type="character" w:customStyle="1" w:styleId="a6">
    <w:name w:val="Σύνδεση ευρετηρίου"/>
    <w:qFormat/>
    <w:rsid w:val="00B061D7"/>
  </w:style>
  <w:style w:type="character" w:customStyle="1" w:styleId="ListLabel43">
    <w:name w:val="ListLabel 43"/>
    <w:qFormat/>
    <w:rsid w:val="00B061D7"/>
    <w:rPr>
      <w:rFonts w:cs="Symbol"/>
    </w:rPr>
  </w:style>
  <w:style w:type="character" w:customStyle="1" w:styleId="ListLabel44">
    <w:name w:val="ListLabel 44"/>
    <w:qFormat/>
    <w:rsid w:val="00B061D7"/>
    <w:rPr>
      <w:rFonts w:cs="Courier New"/>
    </w:rPr>
  </w:style>
  <w:style w:type="character" w:customStyle="1" w:styleId="ListLabel45">
    <w:name w:val="ListLabel 45"/>
    <w:qFormat/>
    <w:rsid w:val="00B061D7"/>
    <w:rPr>
      <w:rFonts w:cs="Wingdings"/>
    </w:rPr>
  </w:style>
  <w:style w:type="character" w:customStyle="1" w:styleId="ListLabel46">
    <w:name w:val="ListLabel 46"/>
    <w:qFormat/>
    <w:rsid w:val="00B061D7"/>
    <w:rPr>
      <w:rFonts w:cs="Symbol"/>
    </w:rPr>
  </w:style>
  <w:style w:type="character" w:customStyle="1" w:styleId="ListLabel47">
    <w:name w:val="ListLabel 47"/>
    <w:qFormat/>
    <w:rsid w:val="00B061D7"/>
    <w:rPr>
      <w:rFonts w:cs="Courier New"/>
    </w:rPr>
  </w:style>
  <w:style w:type="character" w:customStyle="1" w:styleId="ListLabel48">
    <w:name w:val="ListLabel 48"/>
    <w:qFormat/>
    <w:rsid w:val="00B061D7"/>
    <w:rPr>
      <w:rFonts w:cs="Wingdings"/>
    </w:rPr>
  </w:style>
  <w:style w:type="character" w:customStyle="1" w:styleId="ListLabel49">
    <w:name w:val="ListLabel 49"/>
    <w:qFormat/>
    <w:rsid w:val="00B061D7"/>
    <w:rPr>
      <w:rFonts w:cs="Symbol"/>
    </w:rPr>
  </w:style>
  <w:style w:type="character" w:customStyle="1" w:styleId="ListLabel50">
    <w:name w:val="ListLabel 50"/>
    <w:qFormat/>
    <w:rsid w:val="00B061D7"/>
    <w:rPr>
      <w:rFonts w:cs="Courier New"/>
    </w:rPr>
  </w:style>
  <w:style w:type="character" w:customStyle="1" w:styleId="ListLabel51">
    <w:name w:val="ListLabel 51"/>
    <w:qFormat/>
    <w:rsid w:val="00B061D7"/>
    <w:rPr>
      <w:rFonts w:cs="Wingdings"/>
    </w:rPr>
  </w:style>
  <w:style w:type="character" w:customStyle="1" w:styleId="ListLabel52">
    <w:name w:val="ListLabel 52"/>
    <w:qFormat/>
    <w:rsid w:val="00B061D7"/>
    <w:rPr>
      <w:rFonts w:cs="Symbol"/>
    </w:rPr>
  </w:style>
  <w:style w:type="character" w:customStyle="1" w:styleId="ListLabel53">
    <w:name w:val="ListLabel 53"/>
    <w:qFormat/>
    <w:rsid w:val="00B061D7"/>
    <w:rPr>
      <w:rFonts w:cs="Courier New"/>
    </w:rPr>
  </w:style>
  <w:style w:type="character" w:customStyle="1" w:styleId="ListLabel54">
    <w:name w:val="ListLabel 54"/>
    <w:qFormat/>
    <w:rsid w:val="00B061D7"/>
    <w:rPr>
      <w:rFonts w:cs="Wingdings"/>
    </w:rPr>
  </w:style>
  <w:style w:type="character" w:customStyle="1" w:styleId="ListLabel55">
    <w:name w:val="ListLabel 55"/>
    <w:qFormat/>
    <w:rsid w:val="00B061D7"/>
    <w:rPr>
      <w:rFonts w:cs="Symbol"/>
    </w:rPr>
  </w:style>
  <w:style w:type="character" w:customStyle="1" w:styleId="ListLabel56">
    <w:name w:val="ListLabel 56"/>
    <w:qFormat/>
    <w:rsid w:val="00B061D7"/>
    <w:rPr>
      <w:rFonts w:cs="Courier New"/>
    </w:rPr>
  </w:style>
  <w:style w:type="character" w:customStyle="1" w:styleId="ListLabel57">
    <w:name w:val="ListLabel 57"/>
    <w:qFormat/>
    <w:rsid w:val="00B061D7"/>
    <w:rPr>
      <w:rFonts w:cs="Wingdings"/>
    </w:rPr>
  </w:style>
  <w:style w:type="character" w:customStyle="1" w:styleId="ListLabel58">
    <w:name w:val="ListLabel 58"/>
    <w:qFormat/>
    <w:rsid w:val="00B061D7"/>
    <w:rPr>
      <w:rFonts w:cs="Symbol"/>
    </w:rPr>
  </w:style>
  <w:style w:type="character" w:customStyle="1" w:styleId="ListLabel59">
    <w:name w:val="ListLabel 59"/>
    <w:qFormat/>
    <w:rsid w:val="00B061D7"/>
    <w:rPr>
      <w:rFonts w:cs="Courier New"/>
    </w:rPr>
  </w:style>
  <w:style w:type="character" w:customStyle="1" w:styleId="ListLabel60">
    <w:name w:val="ListLabel 60"/>
    <w:qFormat/>
    <w:rsid w:val="00B061D7"/>
    <w:rPr>
      <w:rFonts w:cs="Wingdings"/>
    </w:rPr>
  </w:style>
  <w:style w:type="character" w:customStyle="1" w:styleId="ListLabel61">
    <w:name w:val="ListLabel 61"/>
    <w:qFormat/>
    <w:rsid w:val="00B061D7"/>
    <w:rPr>
      <w:rFonts w:cs="Symbol"/>
    </w:rPr>
  </w:style>
  <w:style w:type="character" w:customStyle="1" w:styleId="ListLabel62">
    <w:name w:val="ListLabel 62"/>
    <w:qFormat/>
    <w:rsid w:val="00B061D7"/>
    <w:rPr>
      <w:rFonts w:cs="Courier New"/>
    </w:rPr>
  </w:style>
  <w:style w:type="character" w:customStyle="1" w:styleId="ListLabel63">
    <w:name w:val="ListLabel 63"/>
    <w:qFormat/>
    <w:rsid w:val="00B061D7"/>
    <w:rPr>
      <w:rFonts w:cs="Wingdings"/>
    </w:rPr>
  </w:style>
  <w:style w:type="character" w:customStyle="1" w:styleId="ListLabel64">
    <w:name w:val="ListLabel 64"/>
    <w:qFormat/>
    <w:rsid w:val="00B061D7"/>
    <w:rPr>
      <w:rFonts w:cs="Symbol"/>
    </w:rPr>
  </w:style>
  <w:style w:type="character" w:customStyle="1" w:styleId="ListLabel65">
    <w:name w:val="ListLabel 65"/>
    <w:qFormat/>
    <w:rsid w:val="00B061D7"/>
    <w:rPr>
      <w:rFonts w:cs="Courier New"/>
    </w:rPr>
  </w:style>
  <w:style w:type="character" w:customStyle="1" w:styleId="ListLabel66">
    <w:name w:val="ListLabel 66"/>
    <w:qFormat/>
    <w:rsid w:val="00B061D7"/>
    <w:rPr>
      <w:rFonts w:cs="Wingdings"/>
    </w:rPr>
  </w:style>
  <w:style w:type="character" w:customStyle="1" w:styleId="ListLabel67">
    <w:name w:val="ListLabel 67"/>
    <w:qFormat/>
    <w:rsid w:val="00B061D7"/>
    <w:rPr>
      <w:rFonts w:cs="Symbol"/>
    </w:rPr>
  </w:style>
  <w:style w:type="character" w:customStyle="1" w:styleId="ListLabel68">
    <w:name w:val="ListLabel 68"/>
    <w:qFormat/>
    <w:rsid w:val="00B061D7"/>
    <w:rPr>
      <w:rFonts w:cs="Courier New"/>
    </w:rPr>
  </w:style>
  <w:style w:type="character" w:customStyle="1" w:styleId="ListLabel69">
    <w:name w:val="ListLabel 69"/>
    <w:qFormat/>
    <w:rsid w:val="00B061D7"/>
    <w:rPr>
      <w:rFonts w:cs="Wingdings"/>
    </w:rPr>
  </w:style>
  <w:style w:type="character" w:customStyle="1" w:styleId="ListLabel70">
    <w:name w:val="ListLabel 70"/>
    <w:qFormat/>
    <w:rsid w:val="00B061D7"/>
    <w:rPr>
      <w:rFonts w:cs="Symbol"/>
    </w:rPr>
  </w:style>
  <w:style w:type="character" w:customStyle="1" w:styleId="ListLabel71">
    <w:name w:val="ListLabel 71"/>
    <w:qFormat/>
    <w:rsid w:val="00B061D7"/>
    <w:rPr>
      <w:rFonts w:cs="Courier New"/>
    </w:rPr>
  </w:style>
  <w:style w:type="character" w:customStyle="1" w:styleId="ListLabel72">
    <w:name w:val="ListLabel 72"/>
    <w:qFormat/>
    <w:rsid w:val="00B061D7"/>
    <w:rPr>
      <w:rFonts w:cs="Wingdings"/>
    </w:rPr>
  </w:style>
  <w:style w:type="character" w:customStyle="1" w:styleId="ListLabel73">
    <w:name w:val="ListLabel 73"/>
    <w:qFormat/>
    <w:rsid w:val="00B061D7"/>
    <w:rPr>
      <w:rFonts w:cs="Symbol"/>
    </w:rPr>
  </w:style>
  <w:style w:type="character" w:customStyle="1" w:styleId="ListLabel74">
    <w:name w:val="ListLabel 74"/>
    <w:qFormat/>
    <w:rsid w:val="00B061D7"/>
    <w:rPr>
      <w:rFonts w:cs="Courier New"/>
    </w:rPr>
  </w:style>
  <w:style w:type="character" w:customStyle="1" w:styleId="ListLabel75">
    <w:name w:val="ListLabel 75"/>
    <w:qFormat/>
    <w:rsid w:val="00B061D7"/>
    <w:rPr>
      <w:rFonts w:cs="Wingdings"/>
    </w:rPr>
  </w:style>
  <w:style w:type="character" w:customStyle="1" w:styleId="ListLabel76">
    <w:name w:val="ListLabel 76"/>
    <w:qFormat/>
    <w:rsid w:val="00B061D7"/>
    <w:rPr>
      <w:rFonts w:cs="Symbol"/>
    </w:rPr>
  </w:style>
  <w:style w:type="character" w:customStyle="1" w:styleId="ListLabel77">
    <w:name w:val="ListLabel 77"/>
    <w:qFormat/>
    <w:rsid w:val="00B061D7"/>
    <w:rPr>
      <w:rFonts w:cs="Courier New"/>
    </w:rPr>
  </w:style>
  <w:style w:type="character" w:customStyle="1" w:styleId="ListLabel78">
    <w:name w:val="ListLabel 78"/>
    <w:qFormat/>
    <w:rsid w:val="00B061D7"/>
    <w:rPr>
      <w:rFonts w:cs="Wingdings"/>
    </w:rPr>
  </w:style>
  <w:style w:type="character" w:customStyle="1" w:styleId="ListLabel79">
    <w:name w:val="ListLabel 79"/>
    <w:qFormat/>
    <w:rsid w:val="00B061D7"/>
    <w:rPr>
      <w:rFonts w:cs="Symbol"/>
    </w:rPr>
  </w:style>
  <w:style w:type="character" w:customStyle="1" w:styleId="ListLabel80">
    <w:name w:val="ListLabel 80"/>
    <w:qFormat/>
    <w:rsid w:val="00B061D7"/>
    <w:rPr>
      <w:rFonts w:cs="Courier New"/>
    </w:rPr>
  </w:style>
  <w:style w:type="character" w:customStyle="1" w:styleId="ListLabel81">
    <w:name w:val="ListLabel 81"/>
    <w:qFormat/>
    <w:rsid w:val="00B061D7"/>
    <w:rPr>
      <w:rFonts w:cs="Wingdings"/>
    </w:rPr>
  </w:style>
  <w:style w:type="character" w:customStyle="1" w:styleId="ListLabel82">
    <w:name w:val="ListLabel 82"/>
    <w:qFormat/>
    <w:rsid w:val="00B061D7"/>
    <w:rPr>
      <w:rFonts w:cs="Symbol"/>
    </w:rPr>
  </w:style>
  <w:style w:type="character" w:customStyle="1" w:styleId="ListLabel83">
    <w:name w:val="ListLabel 83"/>
    <w:qFormat/>
    <w:rsid w:val="00B061D7"/>
    <w:rPr>
      <w:rFonts w:cs="Courier New"/>
    </w:rPr>
  </w:style>
  <w:style w:type="character" w:customStyle="1" w:styleId="ListLabel84">
    <w:name w:val="ListLabel 84"/>
    <w:qFormat/>
    <w:rsid w:val="00B061D7"/>
    <w:rPr>
      <w:rFonts w:cs="Wingdings"/>
    </w:rPr>
  </w:style>
  <w:style w:type="character" w:customStyle="1" w:styleId="ListLabel85">
    <w:name w:val="ListLabel 85"/>
    <w:qFormat/>
    <w:rsid w:val="00B061D7"/>
    <w:rPr>
      <w:rFonts w:cs="Symbol"/>
    </w:rPr>
  </w:style>
  <w:style w:type="character" w:customStyle="1" w:styleId="ListLabel86">
    <w:name w:val="ListLabel 86"/>
    <w:qFormat/>
    <w:rsid w:val="00B061D7"/>
    <w:rPr>
      <w:rFonts w:cs="Courier New"/>
    </w:rPr>
  </w:style>
  <w:style w:type="character" w:customStyle="1" w:styleId="ListLabel87">
    <w:name w:val="ListLabel 87"/>
    <w:qFormat/>
    <w:rsid w:val="00B061D7"/>
    <w:rPr>
      <w:rFonts w:cs="Wingdings"/>
    </w:rPr>
  </w:style>
  <w:style w:type="character" w:customStyle="1" w:styleId="ListLabel88">
    <w:name w:val="ListLabel 88"/>
    <w:qFormat/>
    <w:rsid w:val="00B061D7"/>
    <w:rPr>
      <w:rFonts w:cs="Symbol"/>
    </w:rPr>
  </w:style>
  <w:style w:type="character" w:customStyle="1" w:styleId="ListLabel89">
    <w:name w:val="ListLabel 89"/>
    <w:qFormat/>
    <w:rsid w:val="00B061D7"/>
    <w:rPr>
      <w:rFonts w:cs="Courier New"/>
    </w:rPr>
  </w:style>
  <w:style w:type="character" w:customStyle="1" w:styleId="ListLabel90">
    <w:name w:val="ListLabel 90"/>
    <w:qFormat/>
    <w:rsid w:val="00B061D7"/>
    <w:rPr>
      <w:rFonts w:cs="Wingdings"/>
    </w:rPr>
  </w:style>
  <w:style w:type="character" w:customStyle="1" w:styleId="ListLabel91">
    <w:name w:val="ListLabel 91"/>
    <w:qFormat/>
    <w:rsid w:val="00B061D7"/>
    <w:rPr>
      <w:rFonts w:cs="Symbol"/>
    </w:rPr>
  </w:style>
  <w:style w:type="character" w:customStyle="1" w:styleId="ListLabel92">
    <w:name w:val="ListLabel 92"/>
    <w:qFormat/>
    <w:rsid w:val="00B061D7"/>
    <w:rPr>
      <w:rFonts w:cs="Courier New"/>
    </w:rPr>
  </w:style>
  <w:style w:type="character" w:customStyle="1" w:styleId="ListLabel93">
    <w:name w:val="ListLabel 93"/>
    <w:qFormat/>
    <w:rsid w:val="00B061D7"/>
    <w:rPr>
      <w:rFonts w:cs="Wingdings"/>
    </w:rPr>
  </w:style>
  <w:style w:type="character" w:customStyle="1" w:styleId="ListLabel94">
    <w:name w:val="ListLabel 94"/>
    <w:qFormat/>
    <w:rsid w:val="00B061D7"/>
    <w:rPr>
      <w:rFonts w:cs="Symbol"/>
    </w:rPr>
  </w:style>
  <w:style w:type="character" w:customStyle="1" w:styleId="ListLabel95">
    <w:name w:val="ListLabel 95"/>
    <w:qFormat/>
    <w:rsid w:val="00B061D7"/>
    <w:rPr>
      <w:rFonts w:cs="Courier New"/>
    </w:rPr>
  </w:style>
  <w:style w:type="character" w:customStyle="1" w:styleId="ListLabel96">
    <w:name w:val="ListLabel 96"/>
    <w:qFormat/>
    <w:rsid w:val="00B061D7"/>
    <w:rPr>
      <w:rFonts w:cs="Wingdings"/>
    </w:rPr>
  </w:style>
  <w:style w:type="character" w:customStyle="1" w:styleId="ListLabel97">
    <w:name w:val="ListLabel 97"/>
    <w:qFormat/>
    <w:rsid w:val="00B061D7"/>
    <w:rPr>
      <w:sz w:val="22"/>
      <w:lang w:val="en-US"/>
    </w:rPr>
  </w:style>
  <w:style w:type="character" w:customStyle="1" w:styleId="ListLabel98">
    <w:name w:val="ListLabel 98"/>
    <w:qFormat/>
    <w:rsid w:val="00B061D7"/>
    <w:rPr>
      <w:sz w:val="22"/>
      <w:lang w:val="en-US"/>
    </w:rPr>
  </w:style>
  <w:style w:type="paragraph" w:customStyle="1" w:styleId="a7">
    <w:name w:val="Επικεφαλίδα"/>
    <w:basedOn w:val="a"/>
    <w:next w:val="a8"/>
    <w:qFormat/>
    <w:rsid w:val="00B061D7"/>
    <w:pPr>
      <w:keepNext/>
      <w:spacing w:before="240" w:after="120"/>
    </w:pPr>
    <w:rPr>
      <w:rFonts w:ascii="Liberation Sans" w:eastAsia="Arial Unicode MS" w:hAnsi="Liberation Sans" w:cs="Arial Unicode MS"/>
      <w:sz w:val="28"/>
      <w:szCs w:val="28"/>
    </w:rPr>
  </w:style>
  <w:style w:type="paragraph" w:styleId="a8">
    <w:name w:val="Body Text"/>
    <w:basedOn w:val="a"/>
    <w:rsid w:val="00B061D7"/>
    <w:pPr>
      <w:spacing w:after="140" w:line="276" w:lineRule="auto"/>
    </w:pPr>
  </w:style>
  <w:style w:type="paragraph" w:styleId="a9">
    <w:name w:val="List"/>
    <w:basedOn w:val="a8"/>
    <w:rsid w:val="00B061D7"/>
  </w:style>
  <w:style w:type="paragraph" w:styleId="aa">
    <w:name w:val="caption"/>
    <w:basedOn w:val="a"/>
    <w:next w:val="a"/>
    <w:uiPriority w:val="35"/>
    <w:unhideWhenUsed/>
    <w:qFormat/>
    <w:rsid w:val="0034040B"/>
    <w:pPr>
      <w:spacing w:after="200" w:line="240" w:lineRule="auto"/>
    </w:pPr>
    <w:rPr>
      <w:b/>
      <w:iCs/>
      <w:sz w:val="20"/>
      <w:szCs w:val="18"/>
    </w:rPr>
  </w:style>
  <w:style w:type="paragraph" w:customStyle="1" w:styleId="ab">
    <w:name w:val="Ευρετήριο"/>
    <w:basedOn w:val="a"/>
    <w:qFormat/>
    <w:rsid w:val="00B061D7"/>
    <w:pPr>
      <w:suppressLineNumbers/>
    </w:pPr>
  </w:style>
  <w:style w:type="paragraph" w:styleId="10">
    <w:name w:val="toc 1"/>
    <w:basedOn w:val="a"/>
    <w:next w:val="a"/>
    <w:autoRedefine/>
    <w:uiPriority w:val="39"/>
    <w:unhideWhenUsed/>
    <w:rsid w:val="00896527"/>
    <w:pPr>
      <w:tabs>
        <w:tab w:val="right" w:leader="dot" w:pos="9350"/>
      </w:tabs>
      <w:spacing w:after="100"/>
    </w:pPr>
  </w:style>
  <w:style w:type="paragraph" w:styleId="ac">
    <w:name w:val="TOC Heading"/>
    <w:basedOn w:val="1"/>
    <w:next w:val="a"/>
    <w:uiPriority w:val="39"/>
    <w:unhideWhenUsed/>
    <w:qFormat/>
    <w:rsid w:val="00754A83"/>
    <w:pPr>
      <w:spacing w:before="240" w:line="259" w:lineRule="auto"/>
    </w:pPr>
    <w:rPr>
      <w:rFonts w:asciiTheme="majorHAnsi" w:hAnsiTheme="majorHAnsi"/>
      <w:b w:val="0"/>
      <w:color w:val="2F5496" w:themeColor="accent1" w:themeShade="BF"/>
      <w:lang w:val="en-US"/>
    </w:rPr>
  </w:style>
  <w:style w:type="paragraph" w:styleId="20">
    <w:name w:val="toc 2"/>
    <w:basedOn w:val="a"/>
    <w:next w:val="a"/>
    <w:autoRedefine/>
    <w:uiPriority w:val="39"/>
    <w:unhideWhenUsed/>
    <w:rsid w:val="00754A83"/>
    <w:pPr>
      <w:spacing w:after="100"/>
      <w:ind w:left="240"/>
    </w:pPr>
  </w:style>
  <w:style w:type="paragraph" w:styleId="30">
    <w:name w:val="toc 3"/>
    <w:basedOn w:val="a"/>
    <w:next w:val="a"/>
    <w:autoRedefine/>
    <w:uiPriority w:val="39"/>
    <w:unhideWhenUsed/>
    <w:rsid w:val="00754A83"/>
    <w:pPr>
      <w:spacing w:after="100"/>
      <w:ind w:left="480"/>
    </w:pPr>
  </w:style>
  <w:style w:type="paragraph" w:styleId="ad">
    <w:name w:val="No Spacing"/>
    <w:uiPriority w:val="1"/>
    <w:qFormat/>
    <w:rsid w:val="005E01E9"/>
    <w:pPr>
      <w:jc w:val="both"/>
    </w:pPr>
    <w:rPr>
      <w:rFonts w:ascii="Times New Roman" w:hAnsi="Times New Roman"/>
      <w:color w:val="00000A"/>
      <w:sz w:val="24"/>
    </w:rPr>
  </w:style>
  <w:style w:type="paragraph" w:styleId="a4">
    <w:name w:val="header"/>
    <w:basedOn w:val="a"/>
    <w:link w:val="Char"/>
    <w:uiPriority w:val="99"/>
    <w:unhideWhenUsed/>
    <w:rsid w:val="00EE344F"/>
    <w:pPr>
      <w:tabs>
        <w:tab w:val="center" w:pos="4513"/>
        <w:tab w:val="right" w:pos="9026"/>
      </w:tabs>
      <w:spacing w:after="0" w:line="240" w:lineRule="auto"/>
    </w:pPr>
  </w:style>
  <w:style w:type="paragraph" w:styleId="a5">
    <w:name w:val="footer"/>
    <w:basedOn w:val="a"/>
    <w:link w:val="Char0"/>
    <w:uiPriority w:val="99"/>
    <w:unhideWhenUsed/>
    <w:rsid w:val="00EE344F"/>
    <w:pPr>
      <w:tabs>
        <w:tab w:val="center" w:pos="4513"/>
        <w:tab w:val="right" w:pos="9026"/>
      </w:tabs>
      <w:spacing w:after="0" w:line="240" w:lineRule="auto"/>
    </w:pPr>
  </w:style>
  <w:style w:type="paragraph" w:styleId="ae">
    <w:name w:val="List Paragraph"/>
    <w:basedOn w:val="a"/>
    <w:uiPriority w:val="34"/>
    <w:qFormat/>
    <w:rsid w:val="003F1261"/>
    <w:pPr>
      <w:ind w:left="720"/>
      <w:contextualSpacing/>
    </w:pPr>
  </w:style>
  <w:style w:type="table" w:styleId="af">
    <w:name w:val="Table Grid"/>
    <w:basedOn w:val="a1"/>
    <w:rsid w:val="00CC024B"/>
    <w:rPr>
      <w:szCs w:val="20"/>
      <w:lang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825E6"/>
    <w:pPr>
      <w:autoSpaceDE w:val="0"/>
      <w:autoSpaceDN w:val="0"/>
      <w:adjustRightInd w:val="0"/>
    </w:pPr>
    <w:rPr>
      <w:rFonts w:ascii="Times New Roman" w:hAnsi="Times New Roman" w:cs="Times New Roman"/>
      <w:color w:val="000000"/>
      <w:sz w:val="24"/>
      <w:szCs w:val="24"/>
      <w:lang w:val="en-US"/>
    </w:rPr>
  </w:style>
  <w:style w:type="character" w:styleId="-">
    <w:name w:val="Hyperlink"/>
    <w:basedOn w:val="a0"/>
    <w:uiPriority w:val="99"/>
    <w:unhideWhenUsed/>
    <w:rsid w:val="00DB0D21"/>
    <w:rPr>
      <w:color w:val="0563C1" w:themeColor="hyperlink"/>
      <w:u w:val="single"/>
    </w:rPr>
  </w:style>
  <w:style w:type="paragraph" w:styleId="af0">
    <w:name w:val="Balloon Text"/>
    <w:basedOn w:val="a"/>
    <w:link w:val="Char1"/>
    <w:uiPriority w:val="99"/>
    <w:semiHidden/>
    <w:unhideWhenUsed/>
    <w:rsid w:val="0032499C"/>
    <w:pPr>
      <w:spacing w:after="0" w:line="240" w:lineRule="auto"/>
    </w:pPr>
    <w:rPr>
      <w:rFonts w:ascii="Tahoma" w:hAnsi="Tahoma" w:cs="Tahoma"/>
      <w:sz w:val="16"/>
      <w:szCs w:val="16"/>
    </w:rPr>
  </w:style>
  <w:style w:type="character" w:customStyle="1" w:styleId="Char1">
    <w:name w:val="Κείμενο πλαισίου Char"/>
    <w:basedOn w:val="a0"/>
    <w:link w:val="af0"/>
    <w:uiPriority w:val="99"/>
    <w:semiHidden/>
    <w:rsid w:val="0032499C"/>
    <w:rPr>
      <w:rFonts w:ascii="Tahoma" w:hAnsi="Tahoma" w:cs="Tahoma"/>
      <w:color w:val="00000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ncbi.nlmnih.gov/pmc/articles/PMC6292137"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E8ABE7-4E6A-456A-9941-288EAC7B9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80</Pages>
  <Words>20929</Words>
  <Characters>113021</Characters>
  <Application>Microsoft Office Word</Application>
  <DocSecurity>0</DocSecurity>
  <Lines>941</Lines>
  <Paragraphs>267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133683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Tactical DatAnalysis</dc:creator>
  <cp:lastModifiedBy>papadop</cp:lastModifiedBy>
  <cp:revision>2</cp:revision>
  <cp:lastPrinted>2021-02-19T13:43:00Z</cp:lastPrinted>
  <dcterms:created xsi:type="dcterms:W3CDTF">2021-04-13T06:25:00Z</dcterms:created>
  <dcterms:modified xsi:type="dcterms:W3CDTF">2021-04-13T06:25:00Z</dcterms:modified>
  <dc:language>el-GR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